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2"/>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17</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520444</w:t>
      </w:r>
      <w:r>
        <w:rPr>
          <w:b/>
          <w:sz w:val="24"/>
          <w:szCs w:val="24"/>
          <w:highlight w:val="none"/>
        </w:rPr>
        <w:t xml:space="preserve">                      </w:t>
      </w:r>
    </w:p>
    <w:bookmarkEnd w:id="0"/>
    <w:bookmarkEnd w:id="1"/>
    <w:p w14:paraId="5C25862B">
      <w:pPr>
        <w:pStyle w:val="12"/>
        <w:tabs>
          <w:tab w:val="right" w:pos="9781"/>
          <w:tab w:val="right" w:pos="13323"/>
          <w:tab w:val="clear" w:pos="4153"/>
          <w:tab w:val="clear" w:pos="8306"/>
        </w:tabs>
        <w:outlineLvl w:val="0"/>
        <w:rPr>
          <w:rFonts w:hint="default"/>
          <w:b/>
          <w:sz w:val="24"/>
          <w:szCs w:val="24"/>
          <w:highlight w:val="none"/>
        </w:rPr>
      </w:pPr>
      <w:r>
        <w:rPr>
          <w:b/>
          <w:sz w:val="24"/>
          <w:szCs w:val="24"/>
          <w:highlight w:val="none"/>
          <w:lang w:eastAsia="zh-CN"/>
        </w:rPr>
        <w:t>Dallas, USA, Nov. 17-21, 2025</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9</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4"/>
      <w:bookmarkStart w:id="3" w:name="OLE_LINK23"/>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spectrum sharing for 6GR study</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The objectives </w:t>
      </w:r>
      <w:r>
        <w:rPr>
          <w:rFonts w:hint="eastAsia" w:ascii="Times New Roman" w:hAnsi="Times New Roman"/>
          <w:sz w:val="20"/>
          <w:szCs w:val="20"/>
          <w:lang w:val="en-US" w:eastAsia="zh-CN"/>
        </w:rPr>
        <w:t>on</w:t>
      </w:r>
      <w:r>
        <w:rPr>
          <w:rFonts w:ascii="Times New Roman" w:hAnsi="Times New Roman"/>
          <w:sz w:val="20"/>
          <w:szCs w:val="20"/>
        </w:rPr>
        <w:t xml:space="preserve"> </w:t>
      </w:r>
      <w:r>
        <w:rPr>
          <w:rFonts w:hint="eastAsia" w:ascii="Times New Roman" w:hAnsi="Times New Roman"/>
          <w:sz w:val="20"/>
          <w:szCs w:val="20"/>
          <w:lang w:val="en-US" w:eastAsia="zh-CN"/>
        </w:rPr>
        <w:t>spectrum sharing</w:t>
      </w:r>
      <w:r>
        <w:rPr>
          <w:rFonts w:ascii="Times New Roman" w:hAnsi="Times New Roman"/>
          <w:sz w:val="20"/>
          <w:szCs w:val="20"/>
        </w:rPr>
        <w:t xml:space="preserve"> are duplicated as following.</w:t>
      </w:r>
    </w:p>
    <w:tbl>
      <w:tblPr>
        <w:tblStyle w:val="14"/>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930" w:type="dxa"/>
            <w:noWrap w:val="0"/>
            <w:vAlign w:val="top"/>
          </w:tcPr>
          <w:p w14:paraId="5FAC150B">
            <w:pPr>
              <w:pStyle w:val="17"/>
              <w:numPr>
                <w:ilvl w:val="0"/>
                <w:numId w:val="5"/>
              </w:numPr>
              <w:spacing w:after="120"/>
              <w:ind w:left="0" w:leftChars="0" w:firstLine="0" w:firstLineChars="0"/>
              <w:jc w:val="both"/>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Migration from 5G NR to 6GR as well as interworking and mobility between 5G NR and 6GR:</w:t>
            </w:r>
          </w:p>
          <w:p w14:paraId="67B02614">
            <w:pPr>
              <w:pStyle w:val="17"/>
              <w:numPr>
                <w:ilvl w:val="0"/>
                <w:numId w:val="6"/>
              </w:numPr>
              <w:spacing w:after="120"/>
              <w:ind w:left="600" w:left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5G-6G Multi-RAT Spectrum Sharing for migration [RAN1</w:t>
            </w:r>
            <w:r>
              <w:rPr>
                <w:rFonts w:hint="default" w:ascii="Times New Roman" w:hAnsi="Times New Roman" w:cs="Times New Roman"/>
                <w:color w:val="000000" w:themeColor="text1"/>
                <w:sz w:val="20"/>
                <w:szCs w:val="20"/>
                <w:lang w:eastAsia="ja-JP"/>
                <w14:textFill>
                  <w14:solidFill>
                    <w14:schemeClr w14:val="tx1"/>
                  </w14:solidFill>
                </w14:textFill>
              </w:rPr>
              <w:t>,</w:t>
            </w:r>
            <w:r>
              <w:rPr>
                <w:rFonts w:hint="default" w:ascii="Times New Roman" w:hAnsi="Times New Roman" w:cs="Times New Roman"/>
                <w:color w:val="000000" w:themeColor="text1"/>
                <w:sz w:val="20"/>
                <w:szCs w:val="20"/>
                <w14:textFill>
                  <w14:solidFill>
                    <w14:schemeClr w14:val="tx1"/>
                  </w14:solidFill>
                </w14:textFill>
              </w:rPr>
              <w:t xml:space="preserve"> RAN2, RAN4, RAN3]</w:t>
            </w:r>
          </w:p>
          <w:p w14:paraId="6BB1BA5C">
            <w:pPr>
              <w:pStyle w:val="17"/>
              <w:numPr>
                <w:ilvl w:val="0"/>
                <w:numId w:val="6"/>
              </w:numPr>
              <w:spacing w:after="120"/>
              <w:ind w:left="600" w:left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if any additional </w:t>
            </w:r>
            <w:r>
              <w:rPr>
                <w:rFonts w:hint="default" w:ascii="Times New Roman" w:hAnsi="Times New Roman" w:cs="Times New Roman"/>
                <w:color w:val="000000" w:themeColor="text1"/>
                <w:sz w:val="20"/>
                <w:szCs w:val="20"/>
                <w:lang w:eastAsia="ja-JP"/>
                <w14:textFill>
                  <w14:solidFill>
                    <w14:schemeClr w14:val="tx1"/>
                  </w14:solidFill>
                </w14:textFill>
              </w:rPr>
              <w:t>migration</w:t>
            </w:r>
            <w:r>
              <w:rPr>
                <w:rFonts w:hint="default" w:ascii="Times New Roman" w:hAnsi="Times New Roman" w:cs="Times New Roman"/>
                <w:color w:val="000000" w:themeColor="text1"/>
                <w:sz w:val="20"/>
                <w:szCs w:val="20"/>
                <w14:textFill>
                  <w14:solidFill>
                    <w14:schemeClr w14:val="tx1"/>
                  </w14:solidFill>
                </w14:textFill>
              </w:rPr>
              <w:t xml:space="preserve"> mechanism is necessary. [RAN] [RAN2, RAN1, RAN3, RAN4]</w:t>
            </w:r>
            <w:r>
              <w:rPr>
                <w:rFonts w:hint="default" w:ascii="Times New Roman" w:hAnsi="Times New Roman" w:cs="Times New Roman"/>
                <w:color w:val="000000" w:themeColor="text1"/>
                <w:sz w:val="20"/>
                <w:szCs w:val="20"/>
                <w14:textFill>
                  <w14:solidFill>
                    <w14:schemeClr w14:val="tx1"/>
                  </w14:solidFill>
                </w14:textFill>
              </w:rPr>
              <w:br w:type="textWrapping"/>
            </w:r>
            <w:r>
              <w:rPr>
                <w:rFonts w:hint="default" w:ascii="Times New Roman" w:hAnsi="Times New Roman" w:cs="Times New Roman"/>
                <w:color w:val="000000" w:themeColor="text1"/>
                <w:sz w:val="20"/>
                <w:szCs w:val="20"/>
                <w14:textFill>
                  <w14:solidFill>
                    <w14:schemeClr w14:val="tx1"/>
                  </w14:solidFill>
                </w14:textFill>
              </w:rPr>
              <w:t>NOTE: the start of this study objective</w:t>
            </w:r>
            <w:r>
              <w:rPr>
                <w:rFonts w:hint="default" w:ascii="Times New Roman" w:hAnsi="Times New Roman" w:cs="Times New Roman"/>
                <w:color w:val="000000" w:themeColor="text1"/>
                <w:sz w:val="20"/>
                <w:szCs w:val="20"/>
                <w:lang w:eastAsia="ja-JP"/>
                <w14:textFill>
                  <w14:solidFill>
                    <w14:schemeClr w14:val="tx1"/>
                  </w14:solidFill>
                </w14:textFill>
              </w:rPr>
              <w:t xml:space="preserve"> (b)</w:t>
            </w:r>
            <w:r>
              <w:rPr>
                <w:rFonts w:hint="default" w:ascii="Times New Roman" w:hAnsi="Times New Roman" w:cs="Times New Roman"/>
                <w:color w:val="000000" w:themeColor="text1"/>
                <w:sz w:val="20"/>
                <w:szCs w:val="20"/>
                <w14:textFill>
                  <w14:solidFill>
                    <w14:schemeClr w14:val="tx1"/>
                  </w14:solidFill>
                </w14:textFill>
              </w:rPr>
              <w:t xml:space="preserve"> </w:t>
            </w:r>
            <w:r>
              <w:rPr>
                <w:rFonts w:hint="default" w:ascii="Times New Roman" w:hAnsi="Times New Roman" w:cs="Times New Roman"/>
                <w:color w:val="000000" w:themeColor="text1"/>
                <w:sz w:val="20"/>
                <w:szCs w:val="20"/>
                <w:lang w:eastAsia="ja-JP"/>
                <w14:textFill>
                  <w14:solidFill>
                    <w14:schemeClr w14:val="tx1"/>
                  </w14:solidFill>
                </w14:textFill>
              </w:rPr>
              <w:t>should</w:t>
            </w:r>
            <w:r>
              <w:rPr>
                <w:rFonts w:hint="default" w:ascii="Times New Roman" w:hAnsi="Times New Roman" w:cs="Times New Roman"/>
                <w:color w:val="000000" w:themeColor="text1"/>
                <w:sz w:val="20"/>
                <w:szCs w:val="20"/>
                <w14:textFill>
                  <w14:solidFill>
                    <w14:schemeClr w14:val="tx1"/>
                  </w14:solidFill>
                </w14:textFill>
              </w:rPr>
              <w:t xml:space="preserve"> be triggered by RAN plenary</w:t>
            </w:r>
            <w:r>
              <w:rPr>
                <w:rFonts w:hint="default" w:ascii="Times New Roman" w:hAnsi="Times New Roman" w:cs="Times New Roman"/>
                <w:color w:val="000000" w:themeColor="text1"/>
                <w:sz w:val="20"/>
                <w:szCs w:val="20"/>
                <w:lang w:eastAsia="ja-JP"/>
                <w14:textFill>
                  <w14:solidFill>
                    <w14:schemeClr w14:val="tx1"/>
                  </w14:solidFill>
                </w14:textFill>
              </w:rPr>
              <w:t xml:space="preserve"> in time to guarantee proper completion of the WG study</w:t>
            </w:r>
            <w:r>
              <w:rPr>
                <w:rFonts w:hint="default" w:ascii="Times New Roman" w:hAnsi="Times New Roman" w:cs="Times New Roman"/>
                <w:color w:val="000000" w:themeColor="text1"/>
                <w:sz w:val="20"/>
                <w:szCs w:val="20"/>
                <w14:textFill>
                  <w14:solidFill>
                    <w14:schemeClr w14:val="tx1"/>
                  </w14:solidFill>
                </w14:textFill>
              </w:rPr>
              <w:t>.</w:t>
            </w:r>
          </w:p>
          <w:p w14:paraId="7584FE0C">
            <w:pPr>
              <w:pStyle w:val="17"/>
              <w:numPr>
                <w:ilvl w:val="0"/>
                <w:numId w:val="6"/>
              </w:numPr>
              <w:spacing w:after="120"/>
              <w:ind w:left="600" w:left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Mobility between 5G NR and 6GR [RAN2, RAN3, RAN4]</w:t>
            </w:r>
          </w:p>
          <w:p w14:paraId="5F3616BD">
            <w:pPr>
              <w:spacing w:after="120"/>
              <w:rPr>
                <w:rFonts w:hint="default" w:ascii="Times New Roman" w:hAnsi="Times New Roman" w:cs="Times New Roman"/>
                <w:bCs/>
                <w:sz w:val="20"/>
                <w:szCs w:val="20"/>
              </w:rPr>
            </w:pPr>
            <w:r>
              <w:rPr>
                <w:rFonts w:hint="default" w:ascii="Times New Roman" w:hAnsi="Times New Roman" w:cs="Times New Roman"/>
                <w:color w:val="000000" w:themeColor="text1"/>
                <w:sz w:val="20"/>
                <w:szCs w:val="20"/>
                <w:lang w:eastAsia="ja-JP"/>
                <w14:textFill>
                  <w14:solidFill>
                    <w14:schemeClr w14:val="tx1"/>
                  </w14:solidFill>
                </w14:textFill>
              </w:rPr>
              <w:t>Note: Inclusion of LTE/6G interworking/coexistence aspects may be further discussed based on the requirement from RAN plenary</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initial discussion on spectrum sharing for 6GR study, and a WF was approved [2]. </w:t>
      </w:r>
      <w:r>
        <w:rPr>
          <w:rFonts w:ascii="Times New Roman" w:hAnsi="Times New Roman"/>
          <w:sz w:val="20"/>
          <w:szCs w:val="20"/>
        </w:rPr>
        <w:t>T</w:t>
      </w:r>
      <w:r>
        <w:rPr>
          <w:rFonts w:hint="eastAsia" w:ascii="Times New Roman" w:hAnsi="Times New Roman"/>
          <w:sz w:val="20"/>
          <w:szCs w:val="20"/>
        </w:rPr>
        <w:t xml:space="preserve">his contribution provides </w:t>
      </w:r>
      <w:r>
        <w:rPr>
          <w:rFonts w:hint="eastAsia" w:ascii="Times New Roman" w:hAnsi="Times New Roman"/>
          <w:sz w:val="20"/>
          <w:szCs w:val="20"/>
          <w:lang w:val="en-US" w:eastAsia="zh-CN"/>
        </w:rPr>
        <w:t xml:space="preserve">further </w:t>
      </w:r>
      <w:r>
        <w:rPr>
          <w:rFonts w:hint="eastAsia" w:ascii="Times New Roman" w:hAnsi="Times New Roman"/>
          <w:sz w:val="20"/>
          <w:szCs w:val="20"/>
        </w:rPr>
        <w:t>discussion o</w:t>
      </w:r>
      <w:r>
        <w:rPr>
          <w:rFonts w:hint="eastAsia" w:ascii="Times New Roman" w:hAnsi="Times New Roman"/>
          <w:sz w:val="20"/>
          <w:szCs w:val="20"/>
          <w:lang w:val="en-US" w:eastAsia="zh-CN"/>
        </w:rPr>
        <w:t>n spectrum sharing.</w:t>
      </w:r>
    </w:p>
    <w:p w14:paraId="7077D868">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Discussion</w:t>
      </w:r>
    </w:p>
    <w:p w14:paraId="34F00FB1">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last RAN4 meeting, there was initial discussion on spectrum sharing for 6GR study, and</w:t>
      </w:r>
      <w:bookmarkStart w:id="6" w:name="OLE_LINK2"/>
      <w:bookmarkStart w:id="7" w:name="OLE_LINK1"/>
      <w:r>
        <w:rPr>
          <w:rFonts w:hint="eastAsia" w:ascii="Times New Roman" w:hAnsi="Times New Roman" w:eastAsia="等线"/>
          <w:bCs/>
          <w:iCs/>
          <w:sz w:val="20"/>
          <w:szCs w:val="20"/>
          <w:lang w:val="en-US" w:eastAsia="zh-CN"/>
        </w:rPr>
        <w:t xml:space="preserve"> following agreements are reached.</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09A5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8521566">
            <w:pPr>
              <w:bidi w:val="0"/>
              <w:rPr>
                <w:rFonts w:hint="default" w:ascii="Times New Roman" w:hAnsi="Times New Roman" w:cs="Times New Roman"/>
                <w:b/>
                <w:bCs/>
                <w:sz w:val="20"/>
                <w:szCs w:val="20"/>
                <w:lang w:val="en-US" w:eastAsia="ko-KR"/>
              </w:rPr>
            </w:pPr>
            <w:r>
              <w:rPr>
                <w:rFonts w:hint="default" w:ascii="Times New Roman" w:hAnsi="Times New Roman" w:cs="Times New Roman"/>
                <w:b/>
                <w:bCs/>
                <w:sz w:val="20"/>
                <w:szCs w:val="20"/>
                <w:lang w:val="en-US" w:eastAsia="zh-CN"/>
              </w:rPr>
              <w:t>Sub-topic 1-0: Agenda handling</w:t>
            </w:r>
          </w:p>
          <w:p w14:paraId="319C805D">
            <w:pPr>
              <w:pStyle w:val="17"/>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 xml:space="preserve">Agreements </w:t>
            </w:r>
          </w:p>
          <w:p w14:paraId="306F53FE">
            <w:pPr>
              <w:ind w:left="720" w:leftChars="30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MRSS should be considered in the ultimate RAN4 decision, including RAN4’s input to interim milestone.</w:t>
            </w:r>
          </w:p>
          <w:p w14:paraId="65CB925D">
            <w:pPr>
              <w:ind w:left="720" w:leftChars="300"/>
              <w:rPr>
                <w:rFonts w:hint="default" w:ascii="Times New Roman" w:hAnsi="Times New Roman" w:cs="Times New Roman"/>
                <w:bCs/>
                <w:sz w:val="20"/>
                <w:szCs w:val="20"/>
                <w:lang w:eastAsia="ko-KR"/>
              </w:rPr>
            </w:pPr>
          </w:p>
          <w:p w14:paraId="16F60C7B">
            <w:pPr>
              <w:ind w:left="720" w:leftChars="30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Regarding some of the system parameters (e.g. SCS, sync raster, channel raster etc.), separated agenda will be designated for the scenar</w:t>
            </w:r>
            <w:r>
              <w:rPr>
                <w:rFonts w:hint="default" w:ascii="Times New Roman" w:hAnsi="Times New Roman" w:eastAsia="宋体" w:cs="Times New Roman"/>
                <w:bCs/>
                <w:sz w:val="20"/>
                <w:szCs w:val="20"/>
              </w:rPr>
              <w:t>i</w:t>
            </w:r>
            <w:r>
              <w:rPr>
                <w:rFonts w:hint="default" w:ascii="Times New Roman" w:hAnsi="Times New Roman" w:cs="Times New Roman"/>
                <w:bCs/>
                <w:sz w:val="20"/>
                <w:szCs w:val="20"/>
                <w:lang w:eastAsia="ko-KR"/>
              </w:rPr>
              <w:t>os of  with (in spectrum sharing)  and without (in system parameter) MRSS considered.</w:t>
            </w:r>
          </w:p>
          <w:p w14:paraId="1831830E">
            <w:pPr>
              <w:pStyle w:val="17"/>
              <w:numPr>
                <w:ilvl w:val="6"/>
                <w:numId w:val="8"/>
              </w:numPr>
              <w:ind w:left="720" w:leftChars="300" w:firstLineChars="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If feasible, RAN4 strives to define unified system parameters for the scenarios with and without MRSS.</w:t>
            </w:r>
          </w:p>
          <w:p w14:paraId="62E64D50">
            <w:pPr>
              <w:pStyle w:val="17"/>
              <w:numPr>
                <w:ilvl w:val="6"/>
                <w:numId w:val="8"/>
              </w:numPr>
              <w:ind w:left="720" w:leftChars="300" w:firstLineChars="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 xml:space="preserve">Revisit this agenda arrangement after Feb. meeting in 2026 for potentially merging the discussion under the single agenda. </w:t>
            </w:r>
          </w:p>
          <w:p w14:paraId="7AC090B0">
            <w:pPr>
              <w:ind w:left="720" w:leftChars="300"/>
              <w:rPr>
                <w:rFonts w:hint="default" w:ascii="Times New Roman" w:hAnsi="Times New Roman" w:cs="Times New Roman"/>
                <w:bCs/>
                <w:sz w:val="20"/>
                <w:szCs w:val="20"/>
                <w:lang w:eastAsia="ko-KR"/>
              </w:rPr>
            </w:pPr>
          </w:p>
          <w:p w14:paraId="35E28CDD">
            <w:pPr>
              <w:ind w:left="720" w:leftChars="30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Before RAN4 rece</w:t>
            </w:r>
            <w:r>
              <w:rPr>
                <w:rFonts w:hint="default" w:ascii="Times New Roman" w:hAnsi="Times New Roman" w:eastAsia="宋体" w:cs="Times New Roman"/>
                <w:bCs/>
                <w:sz w:val="20"/>
                <w:szCs w:val="20"/>
              </w:rPr>
              <w:t>i</w:t>
            </w:r>
            <w:r>
              <w:rPr>
                <w:rFonts w:hint="default" w:ascii="Times New Roman" w:hAnsi="Times New Roman" w:cs="Times New Roman"/>
                <w:bCs/>
                <w:sz w:val="20"/>
                <w:szCs w:val="20"/>
                <w:lang w:eastAsia="ko-KR"/>
              </w:rPr>
              <w:t xml:space="preserve">ves concrete design from RAN1/2, RAN4 discussion will be based on the agreed hypothesis. </w:t>
            </w:r>
          </w:p>
          <w:p w14:paraId="5C485E15">
            <w:pPr>
              <w:rPr>
                <w:rFonts w:hint="default" w:ascii="Times New Roman" w:hAnsi="Times New Roman" w:cs="Times New Roman"/>
                <w:sz w:val="20"/>
                <w:szCs w:val="20"/>
              </w:rPr>
            </w:pPr>
          </w:p>
          <w:p w14:paraId="22FA37CD">
            <w:pPr>
              <w:bidi w:val="0"/>
              <w:rPr>
                <w:rFonts w:hint="default" w:ascii="Times New Roman" w:hAnsi="Times New Roman" w:cs="Times New Roman"/>
                <w:b/>
                <w:bCs/>
                <w:sz w:val="20"/>
                <w:szCs w:val="20"/>
                <w:lang w:val="en-US" w:eastAsia="ko-KR"/>
              </w:rPr>
            </w:pPr>
            <w:r>
              <w:rPr>
                <w:rFonts w:hint="default" w:ascii="Times New Roman" w:hAnsi="Times New Roman" w:cs="Times New Roman"/>
                <w:b/>
                <w:bCs/>
                <w:sz w:val="20"/>
                <w:szCs w:val="20"/>
                <w:lang w:val="en-US" w:eastAsia="zh-CN"/>
              </w:rPr>
              <w:t>Sub-topic 1-1: General aspects</w:t>
            </w:r>
          </w:p>
          <w:p w14:paraId="743B81B2">
            <w:pPr>
              <w:bidi w:val="0"/>
              <w:rPr>
                <w:rFonts w:hint="default" w:ascii="Times New Roman" w:hAnsi="Times New Roman" w:eastAsia="宋体" w:cs="Times New Roman"/>
                <w:b/>
                <w:bCs/>
                <w:color w:val="0070C0"/>
                <w:kern w:val="44"/>
                <w:sz w:val="20"/>
                <w:szCs w:val="20"/>
                <w:lang w:val="en-US" w:eastAsia="zh-CN" w:bidi="ar-SA"/>
              </w:rPr>
            </w:pPr>
            <w:r>
              <w:rPr>
                <w:rFonts w:hint="default" w:ascii="Times New Roman" w:hAnsi="Times New Roman" w:eastAsia="宋体" w:cs="Times New Roman"/>
                <w:b/>
                <w:bCs/>
                <w:color w:val="0070C0"/>
                <w:kern w:val="44"/>
                <w:sz w:val="20"/>
                <w:szCs w:val="20"/>
                <w:lang w:val="en-US" w:eastAsia="zh-CN" w:bidi="ar-SA"/>
              </w:rPr>
              <w:t xml:space="preserve">Issue 1-1-1: Migration scheme </w:t>
            </w:r>
          </w:p>
          <w:p w14:paraId="29EB7BC8">
            <w:pPr>
              <w:pStyle w:val="17"/>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Agreements</w:t>
            </w:r>
          </w:p>
          <w:p w14:paraId="49F873B5">
            <w:pPr>
              <w:pStyle w:val="17"/>
              <w:numPr>
                <w:ilvl w:val="0"/>
                <w:numId w:val="9"/>
              </w:numPr>
              <w:tabs>
                <w:tab w:val="left" w:pos="420"/>
                <w:tab w:val="clear" w:pos="840"/>
              </w:tabs>
              <w:spacing w:after="120"/>
              <w:ind w:firstLineChars="0"/>
              <w:rPr>
                <w:rFonts w:hint="default" w:ascii="Times New Roman" w:hAnsi="Times New Roman" w:cs="Times New Roman"/>
                <w:sz w:val="20"/>
                <w:szCs w:val="20"/>
              </w:rPr>
            </w:pPr>
            <w:r>
              <w:rPr>
                <w:rFonts w:hint="default" w:ascii="Times New Roman" w:hAnsi="Times New Roman" w:cs="Times New Roman"/>
                <w:sz w:val="20"/>
                <w:szCs w:val="20"/>
              </w:rPr>
              <w:t>RAN4 focus on MRSS between 6GR and NR</w:t>
            </w:r>
            <w:r>
              <w:rPr>
                <w:rFonts w:hint="default" w:ascii="Times New Roman" w:hAnsi="Times New Roman" w:eastAsia="宋体" w:cs="Times New Roman"/>
                <w:sz w:val="20"/>
                <w:szCs w:val="20"/>
              </w:rPr>
              <w:t xml:space="preserve"> until further RANP guidance</w:t>
            </w:r>
          </w:p>
          <w:p w14:paraId="5B7BCE9A">
            <w:pPr>
              <w:pStyle w:val="17"/>
              <w:numPr>
                <w:ilvl w:val="0"/>
                <w:numId w:val="9"/>
              </w:numPr>
              <w:tabs>
                <w:tab w:val="left" w:pos="420"/>
                <w:tab w:val="clear" w:pos="840"/>
              </w:tabs>
              <w:spacing w:after="120"/>
              <w:ind w:firstLineChars="0"/>
              <w:rPr>
                <w:rFonts w:hint="default" w:ascii="Times New Roman" w:hAnsi="Times New Roman" w:cs="Times New Roman"/>
                <w:sz w:val="20"/>
                <w:szCs w:val="20"/>
              </w:rPr>
            </w:pPr>
            <w:r>
              <w:rPr>
                <w:rFonts w:hint="default" w:ascii="Times New Roman" w:hAnsi="Times New Roman" w:cs="Times New Roman"/>
                <w:sz w:val="20"/>
                <w:szCs w:val="20"/>
              </w:rPr>
              <w:t>RAN4 focus on inter-RAT mobility between 6GR and NR</w:t>
            </w:r>
          </w:p>
          <w:p w14:paraId="1415547D">
            <w:pPr>
              <w:bidi w:val="0"/>
              <w:rPr>
                <w:rFonts w:hint="default"/>
                <w:lang w:val="en-US"/>
              </w:rPr>
            </w:pPr>
            <w:r>
              <w:rPr>
                <w:rFonts w:hint="default" w:ascii="Times New Roman" w:hAnsi="Times New Roman" w:eastAsia="宋体" w:cs="Times New Roman"/>
                <w:b/>
                <w:bCs/>
                <w:color w:val="0070C0"/>
                <w:kern w:val="44"/>
                <w:sz w:val="20"/>
                <w:szCs w:val="20"/>
                <w:lang w:val="en-US" w:eastAsia="zh-CN" w:bidi="ar-SA"/>
              </w:rPr>
              <w:t>Issue 1-1-2: Scenarios for MRSS between 6GR and NR</w:t>
            </w:r>
            <w:r>
              <w:rPr>
                <w:rFonts w:hint="default"/>
                <w:lang w:val="en-US"/>
              </w:rPr>
              <w:t xml:space="preserve"> </w:t>
            </w:r>
          </w:p>
          <w:p w14:paraId="0A130037">
            <w:pPr>
              <w:pStyle w:val="17"/>
              <w:numPr>
                <w:ilvl w:val="0"/>
                <w:numId w:val="7"/>
              </w:numPr>
              <w:overflowPunct/>
              <w:autoSpaceDE/>
              <w:autoSpaceDN/>
              <w:adjustRightInd/>
              <w:spacing w:after="120"/>
              <w:ind w:left="720" w:firstLineChars="0"/>
              <w:textAlignment w:val="auto"/>
              <w:rPr>
                <w:rFonts w:hint="default" w:ascii="Times New Roman" w:hAnsi="Times New Roman" w:cs="Times New Roman"/>
                <w:sz w:val="20"/>
                <w:szCs w:val="20"/>
                <w:highlight w:val="green"/>
              </w:rPr>
            </w:pPr>
            <w:r>
              <w:rPr>
                <w:rFonts w:hint="default" w:ascii="Times New Roman" w:hAnsi="Times New Roman" w:eastAsia="宋体" w:cs="Times New Roman"/>
                <w:sz w:val="20"/>
                <w:szCs w:val="20"/>
                <w:highlight w:val="green"/>
              </w:rPr>
              <w:t>Agreements</w:t>
            </w:r>
          </w:p>
          <w:p w14:paraId="15FBFBCD">
            <w:pPr>
              <w:pStyle w:val="17"/>
              <w:numPr>
                <w:ilvl w:val="0"/>
                <w:numId w:val="10"/>
              </w:numPr>
              <w:overflowPunct/>
              <w:autoSpaceDE/>
              <w:autoSpaceDN/>
              <w:adjustRightInd/>
              <w:spacing w:after="120"/>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For operating frequency range </w:t>
            </w:r>
            <w:r>
              <w:rPr>
                <w:rFonts w:hint="default" w:ascii="Times New Roman" w:hAnsi="Times New Roman" w:eastAsia="宋体" w:cs="Times New Roman"/>
                <w:sz w:val="20"/>
                <w:szCs w:val="20"/>
              </w:rPr>
              <w:t xml:space="preserve">or band </w:t>
            </w:r>
            <w:r>
              <w:rPr>
                <w:rFonts w:hint="default" w:ascii="Times New Roman" w:hAnsi="Times New Roman" w:cs="Times New Roman"/>
                <w:sz w:val="20"/>
                <w:szCs w:val="20"/>
              </w:rPr>
              <w:t>for MRSS between 6GR and NR</w:t>
            </w:r>
          </w:p>
          <w:p w14:paraId="7EF79553">
            <w:pPr>
              <w:pStyle w:val="17"/>
              <w:numPr>
                <w:ilvl w:val="0"/>
                <w:numId w:val="11"/>
              </w:numPr>
              <w:tabs>
                <w:tab w:val="left" w:pos="1680"/>
                <w:tab w:val="clear" w:pos="1260"/>
              </w:tabs>
              <w:spacing w:after="120"/>
              <w:ind w:firstLineChars="0"/>
              <w:rPr>
                <w:rFonts w:hint="default" w:ascii="Times New Roman" w:hAnsi="Times New Roman" w:cs="Times New Roman"/>
                <w:sz w:val="20"/>
                <w:szCs w:val="20"/>
              </w:rPr>
            </w:pPr>
            <w:r>
              <w:rPr>
                <w:rFonts w:hint="default" w:ascii="Times New Roman" w:hAnsi="Times New Roman" w:eastAsia="宋体" w:cs="Times New Roman"/>
                <w:sz w:val="20"/>
                <w:szCs w:val="20"/>
              </w:rPr>
              <w:t xml:space="preserve">Start </w:t>
            </w:r>
            <w:r>
              <w:rPr>
                <w:rFonts w:hint="default" w:ascii="Times New Roman" w:hAnsi="Times New Roman" w:cs="Times New Roman"/>
                <w:sz w:val="20"/>
                <w:szCs w:val="20"/>
              </w:rPr>
              <w:t xml:space="preserve">RAN4 6G-5G MRSS </w:t>
            </w:r>
            <w:r>
              <w:rPr>
                <w:rFonts w:hint="default" w:ascii="Times New Roman" w:hAnsi="Times New Roman" w:eastAsia="宋体" w:cs="Times New Roman"/>
                <w:sz w:val="20"/>
                <w:szCs w:val="20"/>
              </w:rPr>
              <w:t xml:space="preserve">study </w:t>
            </w:r>
            <w:r>
              <w:rPr>
                <w:rFonts w:hint="default" w:ascii="Times New Roman" w:hAnsi="Times New Roman" w:cs="Times New Roman"/>
                <w:sz w:val="20"/>
                <w:szCs w:val="20"/>
              </w:rPr>
              <w:t>in FR1</w:t>
            </w:r>
          </w:p>
          <w:p w14:paraId="7B2897A5">
            <w:pPr>
              <w:pStyle w:val="17"/>
              <w:numPr>
                <w:ilvl w:val="0"/>
                <w:numId w:val="11"/>
              </w:numPr>
              <w:tabs>
                <w:tab w:val="left" w:pos="1680"/>
                <w:tab w:val="clear" w:pos="1260"/>
              </w:tabs>
              <w:spacing w:after="120"/>
              <w:ind w:firstLineChars="0"/>
              <w:rPr>
                <w:rFonts w:hint="default" w:ascii="Times New Roman" w:hAnsi="Times New Roman" w:cs="Times New Roman"/>
                <w:sz w:val="20"/>
                <w:szCs w:val="20"/>
              </w:rPr>
            </w:pPr>
            <w:r>
              <w:rPr>
                <w:rFonts w:hint="default" w:ascii="Times New Roman" w:hAnsi="Times New Roman" w:eastAsia="宋体" w:cs="Times New Roman"/>
                <w:sz w:val="20"/>
                <w:szCs w:val="20"/>
              </w:rPr>
              <w:t>W</w:t>
            </w:r>
            <w:r>
              <w:rPr>
                <w:rFonts w:hint="default" w:ascii="Times New Roman" w:hAnsi="Times New Roman" w:cs="Times New Roman"/>
                <w:sz w:val="20"/>
                <w:szCs w:val="20"/>
              </w:rPr>
              <w:t>hether to consider 6G-5G MRSS in FR2-1</w:t>
            </w:r>
            <w:r>
              <w:rPr>
                <w:rFonts w:hint="default" w:ascii="Times New Roman" w:hAnsi="Times New Roman" w:eastAsia="宋体" w:cs="Times New Roman"/>
                <w:sz w:val="20"/>
                <w:szCs w:val="20"/>
              </w:rPr>
              <w:t xml:space="preserve"> is further discussed</w:t>
            </w:r>
          </w:p>
          <w:p w14:paraId="1EA9A274">
            <w:pPr>
              <w:bidi w:val="0"/>
              <w:rPr>
                <w:rFonts w:hint="default" w:ascii="Times New Roman" w:hAnsi="Times New Roman" w:cs="Times New Roman"/>
                <w:b/>
                <w:bCs/>
                <w:sz w:val="20"/>
                <w:szCs w:val="20"/>
              </w:rPr>
            </w:pPr>
            <w:r>
              <w:rPr>
                <w:rFonts w:hint="default" w:ascii="Times New Roman" w:hAnsi="Times New Roman" w:cs="Times New Roman"/>
                <w:b/>
                <w:bCs/>
                <w:sz w:val="20"/>
                <w:szCs w:val="20"/>
                <w:lang w:val="en-US" w:eastAsia="zh-CN"/>
              </w:rPr>
              <w:t>Sub-topic 1-2: Aspects to facilitate MRSS</w:t>
            </w:r>
          </w:p>
          <w:p w14:paraId="6CC9F9F4">
            <w:pPr>
              <w:bidi w:val="0"/>
              <w:rPr>
                <w:rFonts w:hint="default"/>
              </w:rPr>
            </w:pPr>
            <w:r>
              <w:rPr>
                <w:rFonts w:hint="default" w:ascii="Times New Roman" w:hAnsi="Times New Roman" w:eastAsia="宋体" w:cs="Times New Roman"/>
                <w:b/>
                <w:bCs/>
                <w:color w:val="0070C0"/>
                <w:kern w:val="44"/>
                <w:sz w:val="20"/>
                <w:szCs w:val="20"/>
                <w:lang w:val="en-US" w:eastAsia="zh-CN" w:bidi="ar-SA"/>
              </w:rPr>
              <w:t>Issue 1-2-0: General consideration</w:t>
            </w:r>
            <w:r>
              <w:rPr>
                <w:rFonts w:hint="default"/>
                <w:lang w:val="en-US"/>
              </w:rPr>
              <w:t xml:space="preserve"> </w:t>
            </w:r>
          </w:p>
          <w:p w14:paraId="37B1E0B5">
            <w:pPr>
              <w:rPr>
                <w:rFonts w:hint="default" w:ascii="Times New Roman" w:hAnsi="Times New Roman" w:cs="Times New Roman"/>
                <w:b/>
                <w:color w:val="0070C0"/>
                <w:sz w:val="20"/>
                <w:szCs w:val="20"/>
                <w:u w:val="single"/>
                <w:lang w:eastAsia="ko-KR"/>
              </w:rPr>
            </w:pPr>
            <w:r>
              <w:rPr>
                <w:rFonts w:hint="default" w:ascii="Times New Roman" w:hAnsi="Times New Roman" w:cs="Times New Roman"/>
                <w:b/>
                <w:color w:val="0070C0"/>
                <w:sz w:val="20"/>
                <w:szCs w:val="20"/>
                <w:u w:val="single"/>
                <w:lang w:eastAsia="ko-KR"/>
              </w:rPr>
              <w:t>Agreement</w:t>
            </w:r>
          </w:p>
          <w:p w14:paraId="63462DB9">
            <w:pPr>
              <w:pStyle w:val="17"/>
              <w:numPr>
                <w:ilvl w:val="0"/>
                <w:numId w:val="12"/>
              </w:numPr>
              <w:spacing w:after="120"/>
              <w:ind w:left="1380" w:hanging="360" w:firstLineChars="0"/>
              <w:rPr>
                <w:rFonts w:hint="default" w:ascii="Times New Roman" w:hAnsi="Times New Roman" w:eastAsia="宋体" w:cs="Times New Roman"/>
                <w:bCs/>
                <w:sz w:val="20"/>
                <w:szCs w:val="20"/>
                <w:highlight w:val="green"/>
              </w:rPr>
            </w:pPr>
            <w:r>
              <w:rPr>
                <w:rFonts w:hint="default" w:ascii="Times New Roman" w:hAnsi="Times New Roman" w:eastAsia="宋体" w:cs="Times New Roman"/>
                <w:bCs/>
                <w:sz w:val="20"/>
                <w:szCs w:val="20"/>
                <w:highlight w:val="green"/>
              </w:rPr>
              <w:t>To facilitate MRSS between 6GR and NR, take following aspects as starting point for RAN4 study</w:t>
            </w:r>
          </w:p>
          <w:p w14:paraId="1654EB99">
            <w:pPr>
              <w:pStyle w:val="17"/>
              <w:numPr>
                <w:ilvl w:val="0"/>
                <w:numId w:val="13"/>
              </w:numPr>
              <w:spacing w:after="120"/>
              <w:ind w:firstLineChars="0"/>
              <w:rPr>
                <w:rFonts w:hint="default" w:ascii="Times New Roman" w:hAnsi="Times New Roman" w:eastAsia="宋体" w:cs="Times New Roman"/>
                <w:bCs/>
                <w:sz w:val="20"/>
                <w:szCs w:val="20"/>
                <w:highlight w:val="green"/>
              </w:rPr>
            </w:pPr>
            <w:r>
              <w:rPr>
                <w:rFonts w:hint="default" w:ascii="Times New Roman" w:hAnsi="Times New Roman" w:eastAsia="宋体" w:cs="Times New Roman"/>
                <w:bCs/>
                <w:sz w:val="20"/>
                <w:szCs w:val="20"/>
                <w:highlight w:val="green"/>
              </w:rPr>
              <w:t>System parameters</w:t>
            </w:r>
          </w:p>
          <w:p w14:paraId="52DF1ACE">
            <w:pPr>
              <w:pStyle w:val="17"/>
              <w:numPr>
                <w:ilvl w:val="0"/>
                <w:numId w:val="13"/>
              </w:numPr>
              <w:spacing w:after="120"/>
              <w:ind w:firstLineChars="0"/>
              <w:rPr>
                <w:rFonts w:hint="default" w:ascii="Times New Roman" w:hAnsi="Times New Roman" w:eastAsia="宋体" w:cs="Times New Roman"/>
                <w:bCs/>
                <w:sz w:val="20"/>
                <w:szCs w:val="20"/>
                <w:highlight w:val="green"/>
                <w:lang w:eastAsia="ko-KR"/>
              </w:rPr>
            </w:pPr>
            <w:r>
              <w:rPr>
                <w:rFonts w:hint="default" w:ascii="Times New Roman" w:hAnsi="Times New Roman" w:eastAsia="宋体" w:cs="Times New Roman"/>
                <w:bCs/>
                <w:sz w:val="20"/>
                <w:szCs w:val="20"/>
                <w:highlight w:val="green"/>
              </w:rPr>
              <w:t>RF requirements</w:t>
            </w:r>
          </w:p>
          <w:p w14:paraId="541442F3">
            <w:pPr>
              <w:pStyle w:val="17"/>
              <w:numPr>
                <w:ilvl w:val="0"/>
                <w:numId w:val="13"/>
              </w:numPr>
              <w:spacing w:after="120"/>
              <w:ind w:firstLineChars="0"/>
              <w:rPr>
                <w:rFonts w:hint="default" w:ascii="Times New Roman" w:hAnsi="Times New Roman" w:eastAsia="宋体" w:cs="Times New Roman"/>
                <w:bCs/>
                <w:sz w:val="20"/>
                <w:szCs w:val="20"/>
                <w:highlight w:val="green"/>
                <w:lang w:eastAsia="ko-KR"/>
              </w:rPr>
            </w:pPr>
            <w:r>
              <w:rPr>
                <w:rFonts w:hint="default" w:ascii="Times New Roman" w:hAnsi="Times New Roman" w:eastAsia="宋体" w:cs="Times New Roman"/>
                <w:bCs/>
                <w:sz w:val="20"/>
                <w:szCs w:val="20"/>
                <w:highlight w:val="green"/>
              </w:rPr>
              <w:t>RRM requirements</w:t>
            </w:r>
          </w:p>
          <w:p w14:paraId="2859569F">
            <w:pPr>
              <w:pStyle w:val="17"/>
              <w:numPr>
                <w:ilvl w:val="0"/>
                <w:numId w:val="13"/>
              </w:numPr>
              <w:spacing w:after="120"/>
              <w:ind w:firstLineChars="0"/>
              <w:rPr>
                <w:rFonts w:hint="default" w:ascii="Times New Roman" w:hAnsi="Times New Roman" w:eastAsia="宋体" w:cs="Times New Roman"/>
                <w:bCs/>
                <w:sz w:val="20"/>
                <w:szCs w:val="20"/>
                <w:highlight w:val="green"/>
                <w:lang w:eastAsia="ko-KR"/>
              </w:rPr>
            </w:pPr>
            <w:r>
              <w:rPr>
                <w:rFonts w:hint="default" w:ascii="Times New Roman" w:hAnsi="Times New Roman" w:eastAsia="宋体" w:cs="Times New Roman"/>
                <w:bCs/>
                <w:sz w:val="20"/>
                <w:szCs w:val="20"/>
                <w:highlight w:val="green"/>
              </w:rPr>
              <w:t>Interference handling</w:t>
            </w:r>
          </w:p>
          <w:p w14:paraId="065CCC49">
            <w:pPr>
              <w:pStyle w:val="17"/>
              <w:numPr>
                <w:ilvl w:val="0"/>
                <w:numId w:val="14"/>
              </w:numPr>
              <w:tabs>
                <w:tab w:val="left" w:pos="1680"/>
                <w:tab w:val="clear" w:pos="840"/>
              </w:tabs>
              <w:spacing w:after="120"/>
              <w:ind w:firstLineChars="0"/>
              <w:rPr>
                <w:rFonts w:hint="default" w:ascii="Times New Roman" w:hAnsi="Times New Roman" w:eastAsia="宋体" w:cs="Times New Roman"/>
                <w:bCs/>
                <w:sz w:val="20"/>
                <w:szCs w:val="20"/>
                <w:highlight w:val="green"/>
              </w:rPr>
            </w:pPr>
            <w:r>
              <w:rPr>
                <w:rFonts w:hint="default" w:ascii="Times New Roman" w:hAnsi="Times New Roman" w:eastAsia="宋体" w:cs="Times New Roman"/>
                <w:bCs/>
                <w:sz w:val="20"/>
                <w:szCs w:val="20"/>
                <w:highlight w:val="green"/>
              </w:rPr>
              <w:t>Taking following table as starting point to discuss which system parameters are impacted by MRSS.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74"/>
              <w:gridCol w:w="3386"/>
            </w:tblGrid>
            <w:tr w14:paraId="1361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3115BAAD">
                  <w:pPr>
                    <w:pStyle w:val="17"/>
                    <w:overflowPunct/>
                    <w:autoSpaceDE/>
                    <w:autoSpaceDN/>
                    <w:adjustRightInd/>
                    <w:spacing w:after="120"/>
                    <w:ind w:firstLine="0" w:firstLineChars="0"/>
                    <w:textAlignment w:val="auto"/>
                    <w:rPr>
                      <w:rFonts w:hint="default" w:ascii="Times New Roman" w:hAnsi="Times New Roman" w:eastAsia="宋体" w:cs="Times New Roman"/>
                      <w:b/>
                      <w:bCs/>
                      <w:iCs/>
                      <w:sz w:val="20"/>
                      <w:szCs w:val="20"/>
                      <w:highlight w:val="green"/>
                    </w:rPr>
                  </w:pPr>
                  <w:r>
                    <w:rPr>
                      <w:rFonts w:hint="default" w:ascii="Times New Roman" w:hAnsi="Times New Roman" w:eastAsia="宋体" w:cs="Times New Roman"/>
                      <w:b/>
                      <w:bCs/>
                      <w:iCs/>
                      <w:sz w:val="20"/>
                      <w:szCs w:val="20"/>
                      <w:highlight w:val="green"/>
                    </w:rPr>
                    <w:t xml:space="preserve">System parameters </w:t>
                  </w:r>
                </w:p>
              </w:tc>
              <w:tc>
                <w:tcPr>
                  <w:tcW w:w="3386" w:type="dxa"/>
                </w:tcPr>
                <w:p w14:paraId="29A7547E">
                  <w:pPr>
                    <w:pStyle w:val="17"/>
                    <w:overflowPunct/>
                    <w:autoSpaceDE/>
                    <w:autoSpaceDN/>
                    <w:adjustRightInd/>
                    <w:spacing w:after="120"/>
                    <w:ind w:firstLine="0" w:firstLineChars="0"/>
                    <w:textAlignment w:val="auto"/>
                    <w:rPr>
                      <w:rFonts w:hint="default" w:ascii="Times New Roman" w:hAnsi="Times New Roman" w:eastAsia="宋体" w:cs="Times New Roman"/>
                      <w:b/>
                      <w:bCs/>
                      <w:iCs/>
                      <w:sz w:val="20"/>
                      <w:szCs w:val="20"/>
                      <w:highlight w:val="green"/>
                    </w:rPr>
                  </w:pPr>
                  <w:r>
                    <w:rPr>
                      <w:rFonts w:hint="default" w:ascii="Times New Roman" w:hAnsi="Times New Roman" w:eastAsia="宋体" w:cs="Times New Roman"/>
                      <w:b/>
                      <w:bCs/>
                      <w:iCs/>
                      <w:sz w:val="20"/>
                      <w:szCs w:val="20"/>
                      <w:highlight w:val="green"/>
                    </w:rPr>
                    <w:t>Whether impacted by MRSS</w:t>
                  </w:r>
                </w:p>
              </w:tc>
            </w:tr>
            <w:tr w14:paraId="71736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129BF530">
                  <w:pPr>
                    <w:pStyle w:val="17"/>
                    <w:overflowPunct/>
                    <w:autoSpaceDE/>
                    <w:autoSpaceDN/>
                    <w:adjustRightInd/>
                    <w:spacing w:after="120"/>
                    <w:ind w:firstLine="0" w:firstLineChars="0"/>
                    <w:textAlignment w:val="auto"/>
                    <w:rPr>
                      <w:rFonts w:hint="default" w:ascii="Times New Roman" w:hAnsi="Times New Roman" w:eastAsia="宋体" w:cs="Times New Roman"/>
                      <w:iCs/>
                      <w:sz w:val="20"/>
                      <w:szCs w:val="20"/>
                      <w:highlight w:val="green"/>
                    </w:rPr>
                  </w:pPr>
                  <w:r>
                    <w:rPr>
                      <w:rFonts w:hint="default" w:ascii="Times New Roman" w:hAnsi="Times New Roman" w:cs="Times New Roman"/>
                      <w:sz w:val="20"/>
                      <w:szCs w:val="20"/>
                      <w:highlight w:val="green"/>
                    </w:rPr>
                    <w:t>Numerology</w:t>
                  </w:r>
                </w:p>
              </w:tc>
              <w:tc>
                <w:tcPr>
                  <w:tcW w:w="3386" w:type="dxa"/>
                </w:tcPr>
                <w:p w14:paraId="0419EBB0">
                  <w:pPr>
                    <w:pStyle w:val="17"/>
                    <w:overflowPunct/>
                    <w:autoSpaceDE/>
                    <w:autoSpaceDN/>
                    <w:adjustRightInd/>
                    <w:spacing w:after="120"/>
                    <w:ind w:firstLine="0" w:firstLineChars="0"/>
                    <w:textAlignment w:val="auto"/>
                    <w:rPr>
                      <w:rFonts w:hint="default" w:ascii="Times New Roman" w:hAnsi="Times New Roman" w:eastAsia="宋体" w:cs="Times New Roman"/>
                      <w:iCs/>
                      <w:sz w:val="20"/>
                      <w:szCs w:val="20"/>
                      <w:highlight w:val="green"/>
                    </w:rPr>
                  </w:pPr>
                  <w:r>
                    <w:rPr>
                      <w:rFonts w:hint="default" w:ascii="Times New Roman" w:hAnsi="Times New Roman" w:eastAsia="宋体" w:cs="Times New Roman"/>
                      <w:iCs/>
                      <w:sz w:val="20"/>
                      <w:szCs w:val="20"/>
                      <w:highlight w:val="green"/>
                    </w:rPr>
                    <w:t>Maybe impacted</w:t>
                  </w:r>
                </w:p>
              </w:tc>
            </w:tr>
            <w:tr w14:paraId="059AF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73ABAD2E">
                  <w:pPr>
                    <w:pStyle w:val="17"/>
                    <w:overflowPunct/>
                    <w:autoSpaceDE/>
                    <w:autoSpaceDN/>
                    <w:adjustRightInd/>
                    <w:spacing w:after="120"/>
                    <w:ind w:firstLine="0" w:firstLineChars="0"/>
                    <w:textAlignment w:val="auto"/>
                    <w:rPr>
                      <w:rFonts w:hint="default" w:ascii="Times New Roman" w:hAnsi="Times New Roman" w:eastAsia="宋体" w:cs="Times New Roman"/>
                      <w:iCs/>
                      <w:sz w:val="20"/>
                      <w:szCs w:val="20"/>
                      <w:highlight w:val="green"/>
                    </w:rPr>
                  </w:pPr>
                  <w:r>
                    <w:rPr>
                      <w:rFonts w:hint="default" w:ascii="Times New Roman" w:hAnsi="Times New Roman" w:cs="Times New Roman"/>
                      <w:sz w:val="20"/>
                      <w:szCs w:val="20"/>
                      <w:highlight w:val="green"/>
                    </w:rPr>
                    <w:t>Channel raster</w:t>
                  </w:r>
                </w:p>
              </w:tc>
              <w:tc>
                <w:tcPr>
                  <w:tcW w:w="3386" w:type="dxa"/>
                </w:tcPr>
                <w:p w14:paraId="1C1FA8C9">
                  <w:pPr>
                    <w:pStyle w:val="17"/>
                    <w:overflowPunct/>
                    <w:autoSpaceDE/>
                    <w:autoSpaceDN/>
                    <w:adjustRightInd/>
                    <w:spacing w:after="120"/>
                    <w:ind w:firstLine="0" w:firstLineChars="0"/>
                    <w:textAlignment w:val="auto"/>
                    <w:rPr>
                      <w:rFonts w:hint="default" w:ascii="Times New Roman" w:hAnsi="Times New Roman" w:cs="Times New Roman"/>
                      <w:iCs/>
                      <w:sz w:val="20"/>
                      <w:szCs w:val="20"/>
                      <w:highlight w:val="green"/>
                    </w:rPr>
                  </w:pPr>
                  <w:r>
                    <w:rPr>
                      <w:rFonts w:hint="default" w:ascii="Times New Roman" w:hAnsi="Times New Roman" w:eastAsia="宋体" w:cs="Times New Roman"/>
                      <w:iCs/>
                      <w:sz w:val="20"/>
                      <w:szCs w:val="20"/>
                      <w:highlight w:val="green"/>
                    </w:rPr>
                    <w:t>Maybe impacted</w:t>
                  </w:r>
                </w:p>
              </w:tc>
            </w:tr>
            <w:tr w14:paraId="34069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23FEA64E">
                  <w:pPr>
                    <w:pStyle w:val="17"/>
                    <w:overflowPunct/>
                    <w:autoSpaceDE/>
                    <w:autoSpaceDN/>
                    <w:adjustRightInd/>
                    <w:spacing w:after="120"/>
                    <w:ind w:firstLine="0" w:firstLineChars="0"/>
                    <w:textAlignment w:val="auto"/>
                    <w:rPr>
                      <w:rFonts w:hint="default" w:ascii="Times New Roman" w:hAnsi="Times New Roman" w:eastAsia="宋体" w:cs="Times New Roman"/>
                      <w:iCs/>
                      <w:sz w:val="20"/>
                      <w:szCs w:val="20"/>
                      <w:highlight w:val="green"/>
                    </w:rPr>
                  </w:pPr>
                  <w:r>
                    <w:rPr>
                      <w:rFonts w:hint="default" w:ascii="Times New Roman" w:hAnsi="Times New Roman" w:cs="Times New Roman"/>
                      <w:sz w:val="20"/>
                      <w:szCs w:val="20"/>
                      <w:highlight w:val="green"/>
                    </w:rPr>
                    <w:t>Sync raster</w:t>
                  </w:r>
                </w:p>
              </w:tc>
              <w:tc>
                <w:tcPr>
                  <w:tcW w:w="3386" w:type="dxa"/>
                </w:tcPr>
                <w:p w14:paraId="7B3ED1E1">
                  <w:pPr>
                    <w:pStyle w:val="17"/>
                    <w:overflowPunct/>
                    <w:autoSpaceDE/>
                    <w:autoSpaceDN/>
                    <w:adjustRightInd/>
                    <w:spacing w:after="120"/>
                    <w:ind w:firstLine="0" w:firstLineChars="0"/>
                    <w:textAlignment w:val="auto"/>
                    <w:rPr>
                      <w:rFonts w:hint="default" w:ascii="Times New Roman" w:hAnsi="Times New Roman" w:cs="Times New Roman"/>
                      <w:iCs/>
                      <w:sz w:val="20"/>
                      <w:szCs w:val="20"/>
                      <w:highlight w:val="green"/>
                    </w:rPr>
                  </w:pPr>
                  <w:r>
                    <w:rPr>
                      <w:rFonts w:hint="default" w:ascii="Times New Roman" w:hAnsi="Times New Roman" w:eastAsia="宋体" w:cs="Times New Roman"/>
                      <w:iCs/>
                      <w:sz w:val="20"/>
                      <w:szCs w:val="20"/>
                      <w:highlight w:val="green"/>
                    </w:rPr>
                    <w:t>Maybe impacted</w:t>
                  </w:r>
                </w:p>
              </w:tc>
            </w:tr>
            <w:tr w14:paraId="2EF63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7B3DC263">
                  <w:pPr>
                    <w:pStyle w:val="17"/>
                    <w:overflowPunct/>
                    <w:autoSpaceDE/>
                    <w:autoSpaceDN/>
                    <w:adjustRightInd/>
                    <w:spacing w:after="120"/>
                    <w:ind w:firstLine="0" w:firstLineChars="0"/>
                    <w:textAlignment w:val="auto"/>
                    <w:rPr>
                      <w:rFonts w:hint="default" w:ascii="Times New Roman" w:hAnsi="Times New Roman" w:cs="Times New Roman"/>
                      <w:iCs/>
                      <w:sz w:val="20"/>
                      <w:szCs w:val="20"/>
                      <w:highlight w:val="green"/>
                    </w:rPr>
                  </w:pPr>
                  <w:r>
                    <w:rPr>
                      <w:rFonts w:hint="default" w:ascii="Times New Roman" w:hAnsi="Times New Roman" w:eastAsia="宋体" w:cs="Times New Roman"/>
                      <w:iCs/>
                      <w:sz w:val="20"/>
                      <w:szCs w:val="20"/>
                      <w:highlight w:val="green"/>
                    </w:rPr>
                    <w:t>Waveform</w:t>
                  </w:r>
                </w:p>
              </w:tc>
              <w:tc>
                <w:tcPr>
                  <w:tcW w:w="3386" w:type="dxa"/>
                </w:tcPr>
                <w:p w14:paraId="0B574B73">
                  <w:pPr>
                    <w:pStyle w:val="17"/>
                    <w:overflowPunct/>
                    <w:autoSpaceDE/>
                    <w:autoSpaceDN/>
                    <w:adjustRightInd/>
                    <w:spacing w:after="120"/>
                    <w:ind w:firstLine="0" w:firstLineChars="0"/>
                    <w:textAlignment w:val="auto"/>
                    <w:rPr>
                      <w:rFonts w:hint="default" w:ascii="Times New Roman" w:hAnsi="Times New Roman" w:eastAsia="宋体" w:cs="Times New Roman"/>
                      <w:iCs/>
                      <w:sz w:val="20"/>
                      <w:szCs w:val="20"/>
                      <w:highlight w:val="green"/>
                    </w:rPr>
                  </w:pPr>
                  <w:r>
                    <w:rPr>
                      <w:rFonts w:hint="default" w:ascii="Times New Roman" w:hAnsi="Times New Roman" w:eastAsia="宋体" w:cs="Times New Roman"/>
                      <w:iCs/>
                      <w:sz w:val="20"/>
                      <w:szCs w:val="20"/>
                      <w:highlight w:val="green"/>
                    </w:rPr>
                    <w:t>FFS</w:t>
                  </w:r>
                </w:p>
              </w:tc>
            </w:tr>
            <w:tr w14:paraId="05290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37532E86">
                  <w:pPr>
                    <w:pStyle w:val="17"/>
                    <w:overflowPunct/>
                    <w:autoSpaceDE/>
                    <w:autoSpaceDN/>
                    <w:adjustRightInd/>
                    <w:spacing w:after="120"/>
                    <w:ind w:firstLine="0" w:firstLineChars="0"/>
                    <w:textAlignment w:val="auto"/>
                    <w:rPr>
                      <w:rFonts w:hint="default" w:ascii="Times New Roman" w:hAnsi="Times New Roman" w:cs="Times New Roman"/>
                      <w:iCs/>
                      <w:sz w:val="20"/>
                      <w:szCs w:val="20"/>
                      <w:highlight w:val="green"/>
                    </w:rPr>
                  </w:pPr>
                  <w:r>
                    <w:rPr>
                      <w:rFonts w:hint="default" w:ascii="Times New Roman" w:hAnsi="Times New Roman" w:eastAsia="宋体" w:cs="Times New Roman"/>
                      <w:iCs/>
                      <w:sz w:val="20"/>
                      <w:szCs w:val="20"/>
                      <w:highlight w:val="green"/>
                    </w:rPr>
                    <w:t>Modulation</w:t>
                  </w:r>
                </w:p>
              </w:tc>
              <w:tc>
                <w:tcPr>
                  <w:tcW w:w="3386" w:type="dxa"/>
                </w:tcPr>
                <w:p w14:paraId="0D2CA7AB">
                  <w:pPr>
                    <w:pStyle w:val="17"/>
                    <w:overflowPunct/>
                    <w:autoSpaceDE/>
                    <w:autoSpaceDN/>
                    <w:adjustRightInd/>
                    <w:spacing w:after="120"/>
                    <w:ind w:firstLine="0" w:firstLineChars="0"/>
                    <w:textAlignment w:val="auto"/>
                    <w:rPr>
                      <w:rFonts w:hint="default" w:ascii="Times New Roman" w:hAnsi="Times New Roman" w:eastAsia="宋体" w:cs="Times New Roman"/>
                      <w:iCs/>
                      <w:sz w:val="20"/>
                      <w:szCs w:val="20"/>
                      <w:highlight w:val="green"/>
                    </w:rPr>
                  </w:pPr>
                  <w:r>
                    <w:rPr>
                      <w:rFonts w:hint="default" w:ascii="Times New Roman" w:hAnsi="Times New Roman" w:eastAsia="宋体" w:cs="Times New Roman"/>
                      <w:iCs/>
                      <w:sz w:val="20"/>
                      <w:szCs w:val="20"/>
                      <w:highlight w:val="green"/>
                    </w:rPr>
                    <w:t>FFS</w:t>
                  </w:r>
                </w:p>
              </w:tc>
            </w:tr>
            <w:tr w14:paraId="397B7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132049B6">
                  <w:pPr>
                    <w:pStyle w:val="17"/>
                    <w:overflowPunct/>
                    <w:autoSpaceDE/>
                    <w:autoSpaceDN/>
                    <w:adjustRightInd/>
                    <w:spacing w:after="120"/>
                    <w:ind w:firstLine="0" w:firstLineChars="0"/>
                    <w:textAlignment w:val="auto"/>
                    <w:rPr>
                      <w:rFonts w:hint="default" w:ascii="Times New Roman" w:hAnsi="Times New Roman" w:cs="Times New Roman"/>
                      <w:iCs/>
                      <w:sz w:val="20"/>
                      <w:szCs w:val="20"/>
                      <w:highlight w:val="green"/>
                    </w:rPr>
                  </w:pPr>
                  <w:r>
                    <w:rPr>
                      <w:rFonts w:hint="default" w:ascii="Times New Roman" w:hAnsi="Times New Roman" w:eastAsia="宋体" w:cs="Times New Roman"/>
                      <w:iCs/>
                      <w:sz w:val="20"/>
                      <w:szCs w:val="20"/>
                      <w:highlight w:val="green"/>
                    </w:rPr>
                    <w:t>Channel bandwidth</w:t>
                  </w:r>
                </w:p>
              </w:tc>
              <w:tc>
                <w:tcPr>
                  <w:tcW w:w="3386" w:type="dxa"/>
                </w:tcPr>
                <w:p w14:paraId="58B882B6">
                  <w:pPr>
                    <w:pStyle w:val="17"/>
                    <w:overflowPunct/>
                    <w:autoSpaceDE/>
                    <w:autoSpaceDN/>
                    <w:adjustRightInd/>
                    <w:spacing w:after="120"/>
                    <w:ind w:firstLine="0" w:firstLineChars="0"/>
                    <w:textAlignment w:val="auto"/>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highlight w:val="green"/>
                    </w:rPr>
                    <w:t>FFS</w:t>
                  </w:r>
                </w:p>
              </w:tc>
            </w:tr>
          </w:tbl>
          <w:p w14:paraId="50AEEA34">
            <w:pPr>
              <w:rPr>
                <w:rFonts w:hint="default" w:ascii="Times New Roman" w:hAnsi="Times New Roman" w:cs="Times New Roman"/>
                <w:sz w:val="20"/>
                <w:szCs w:val="20"/>
              </w:rPr>
            </w:pPr>
          </w:p>
          <w:p w14:paraId="3C8DCC9C">
            <w:pPr>
              <w:spacing w:after="180" w:line="240" w:lineRule="exact"/>
              <w:rPr>
                <w:rFonts w:hint="default" w:ascii="Times New Roman" w:hAnsi="Times New Roman" w:eastAsia="等线" w:cs="Times New Roman"/>
                <w:bCs/>
                <w:iCs/>
                <w:sz w:val="20"/>
                <w:szCs w:val="20"/>
                <w:vertAlign w:val="baseline"/>
                <w:lang w:val="en-US" w:eastAsia="zh-CN"/>
              </w:rPr>
            </w:pPr>
          </w:p>
        </w:tc>
      </w:tr>
    </w:tbl>
    <w:p w14:paraId="4BD13E30">
      <w:pPr>
        <w:spacing w:after="180" w:line="240" w:lineRule="exact"/>
        <w:rPr>
          <w:rFonts w:hint="eastAsia" w:ascii="Times New Roman" w:hAnsi="Times New Roman" w:eastAsia="等线"/>
          <w:bCs/>
          <w:iCs/>
          <w:sz w:val="20"/>
          <w:szCs w:val="20"/>
          <w:lang w:val="en-US" w:eastAsia="zh-CN"/>
        </w:rPr>
      </w:pPr>
    </w:p>
    <w:p w14:paraId="3564D7FE">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MRSS provides a smooth and efficient evolution from NR to 6G by enabling NR and 6G systems to dynamically share the same spectral resources. For legacy frequency range, e.g. FR1 and FR2-1, the typical case for MRSS is FR1, considering the better coverage of low band and limited bandwidth. In last meeting, it was agreed to start RAN4 6G-5G MRSS study in FR1, and FFS for 6G-5G MRSS in FR2-1. For FR2-1, firstly, the coverage is limited. Secondly, large channel bandwidth, e.g. 100MHz, is assumed. Based on these consideration, we are not sure whether MRSS is needed for FR2-1. If there is no operator demand on MRSS between 6G and 5G in FR2-1, no need to consider 6G-5G MRSS in FR2-1.</w:t>
      </w:r>
    </w:p>
    <w:p w14:paraId="61EB87CF">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If there is no demand from operator on 6G-5G MRSS in FR2-1, no need to consider 6G-5G MRSS in FR2-1.</w:t>
      </w:r>
    </w:p>
    <w:p w14:paraId="38F6BDEA">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One issue is about spectrum sharing with NTN. Some companies propose to consider spectrum sharing scenarios including NR NTN + 6G NTN, NR TN + 6G NTN, NR NTN + 6G TN. Firstly, spectrum sharing between TN and NTN is not in the scope, which are also pending on WRC-27 decision. As for spectrum sharing between NR NTN and 6G NTN, we are not sure whether there is such demand from NTN operators. Considering the limited study time, it is better to firstly focus on the TN network for study on 6G-5G MRSS. When the study on 5G-6G MRSS for TN is stable, we can further check whether the solution can be reused for NR NTN + 6G NTN.</w:t>
      </w:r>
    </w:p>
    <w:p w14:paraId="43872261">
      <w:pPr>
        <w:spacing w:after="180" w:line="240" w:lineRule="exact"/>
        <w:rPr>
          <w:rFonts w:hint="eastAsia" w:ascii="Times New Roman" w:hAnsi="Times New Roman" w:eastAsia="等线"/>
          <w:bCs/>
          <w:iCs/>
          <w:sz w:val="20"/>
          <w:szCs w:val="20"/>
          <w:highlight w:val="none"/>
          <w:lang w:val="en-US" w:eastAsia="zh-CN"/>
        </w:rPr>
      </w:pPr>
      <w:r>
        <w:rPr>
          <w:rFonts w:hint="eastAsia" w:ascii="Times New Roman" w:hAnsi="Times New Roman" w:eastAsia="等线"/>
          <w:b/>
          <w:bCs w:val="0"/>
          <w:iCs/>
          <w:sz w:val="20"/>
          <w:szCs w:val="20"/>
          <w:highlight w:val="none"/>
          <w:lang w:val="en-US" w:eastAsia="zh-CN"/>
        </w:rPr>
        <w:t>Proposal 2: it is proposed to postpone the discussion on spectrum sharing with NTN. It is proposed to firstly focus on the spectrum sharing between NR TN and 6G TN.</w:t>
      </w:r>
      <w:r>
        <w:rPr>
          <w:rFonts w:hint="eastAsia" w:ascii="Times New Roman" w:hAnsi="Times New Roman" w:eastAsia="等线"/>
          <w:bCs/>
          <w:iCs/>
          <w:sz w:val="20"/>
          <w:szCs w:val="20"/>
          <w:highlight w:val="none"/>
          <w:lang w:val="en-US" w:eastAsia="zh-CN"/>
        </w:rPr>
        <w:tab/>
      </w:r>
    </w:p>
    <w:p w14:paraId="5532DCBA">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last meeting, it was agreed to take following aspects as starting point for RAN4 study on MRSS between 6GR and NR.</w:t>
      </w:r>
    </w:p>
    <w:p w14:paraId="4C9BCC86">
      <w:pPr>
        <w:numPr>
          <w:ilvl w:val="0"/>
          <w:numId w:val="15"/>
        </w:numPr>
        <w:spacing w:after="180" w:line="240" w:lineRule="exact"/>
        <w:ind w:left="84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System parameters</w:t>
      </w:r>
    </w:p>
    <w:p w14:paraId="534001FC">
      <w:pPr>
        <w:numPr>
          <w:ilvl w:val="0"/>
          <w:numId w:val="15"/>
        </w:numPr>
        <w:spacing w:after="180" w:line="240" w:lineRule="exact"/>
        <w:ind w:left="840" w:leftChars="0" w:hanging="420" w:firstLineChars="0"/>
        <w:rPr>
          <w:rFonts w:hint="eastAsia" w:ascii="Times New Roman" w:hAnsi="Times New Roman" w:eastAsia="等线"/>
          <w:bCs/>
          <w:iCs/>
          <w:sz w:val="20"/>
          <w:szCs w:val="20"/>
          <w:lang w:val="en-US" w:eastAsia="ko-KR"/>
        </w:rPr>
      </w:pPr>
      <w:r>
        <w:rPr>
          <w:rFonts w:hint="eastAsia" w:ascii="Times New Roman" w:hAnsi="Times New Roman" w:eastAsia="等线"/>
          <w:bCs/>
          <w:iCs/>
          <w:sz w:val="20"/>
          <w:szCs w:val="20"/>
          <w:lang w:val="en-US" w:eastAsia="zh-CN"/>
        </w:rPr>
        <w:t>RF requirements</w:t>
      </w:r>
    </w:p>
    <w:p w14:paraId="623A5C3C">
      <w:pPr>
        <w:numPr>
          <w:ilvl w:val="0"/>
          <w:numId w:val="15"/>
        </w:numPr>
        <w:spacing w:after="180" w:line="240" w:lineRule="exact"/>
        <w:ind w:left="840" w:leftChars="0" w:hanging="420" w:firstLineChars="0"/>
        <w:rPr>
          <w:rFonts w:hint="eastAsia" w:ascii="Times New Roman" w:hAnsi="Times New Roman" w:eastAsia="等线"/>
          <w:bCs/>
          <w:iCs/>
          <w:sz w:val="20"/>
          <w:szCs w:val="20"/>
          <w:lang w:val="en-US" w:eastAsia="ko-KR"/>
        </w:rPr>
      </w:pPr>
      <w:r>
        <w:rPr>
          <w:rFonts w:hint="eastAsia" w:ascii="Times New Roman" w:hAnsi="Times New Roman" w:eastAsia="等线"/>
          <w:bCs/>
          <w:iCs/>
          <w:sz w:val="20"/>
          <w:szCs w:val="20"/>
          <w:lang w:val="en-US" w:eastAsia="zh-CN"/>
        </w:rPr>
        <w:t>RRM requirements</w:t>
      </w:r>
    </w:p>
    <w:p w14:paraId="56087404">
      <w:pPr>
        <w:numPr>
          <w:ilvl w:val="0"/>
          <w:numId w:val="15"/>
        </w:numPr>
        <w:spacing w:after="180" w:line="240" w:lineRule="exact"/>
        <w:ind w:left="840" w:leftChars="0" w:hanging="420" w:firstLineChars="0"/>
        <w:rPr>
          <w:rFonts w:hint="eastAsia" w:ascii="Times New Roman" w:hAnsi="Times New Roman" w:eastAsia="等线"/>
          <w:bCs/>
          <w:iCs/>
          <w:sz w:val="20"/>
          <w:szCs w:val="20"/>
          <w:lang w:val="en-US" w:eastAsia="ko-KR"/>
        </w:rPr>
      </w:pPr>
      <w:r>
        <w:rPr>
          <w:rFonts w:hint="eastAsia" w:ascii="Times New Roman" w:hAnsi="Times New Roman" w:eastAsia="等线"/>
          <w:bCs/>
          <w:iCs/>
          <w:sz w:val="20"/>
          <w:szCs w:val="20"/>
          <w:lang w:val="en-US" w:eastAsia="zh-CN"/>
        </w:rPr>
        <w:t>Interference handling</w:t>
      </w:r>
    </w:p>
    <w:p w14:paraId="21801BCE">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As for which system parameters are impacted by MRSS, it was agreed to take following table as starting point.</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74"/>
        <w:gridCol w:w="3386"/>
      </w:tblGrid>
      <w:tr w14:paraId="34139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35F6E7FD">
            <w:pPr>
              <w:pStyle w:val="17"/>
              <w:overflowPunct/>
              <w:autoSpaceDE/>
              <w:autoSpaceDN/>
              <w:adjustRightInd/>
              <w:spacing w:after="120"/>
              <w:ind w:firstLine="0" w:firstLineChars="0"/>
              <w:textAlignment w:val="auto"/>
              <w:rPr>
                <w:rFonts w:hint="default" w:ascii="Times New Roman" w:hAnsi="Times New Roman" w:eastAsia="宋体" w:cs="Times New Roman"/>
                <w:b/>
                <w:bCs/>
                <w:iCs/>
                <w:sz w:val="20"/>
                <w:szCs w:val="20"/>
                <w:highlight w:val="none"/>
              </w:rPr>
            </w:pPr>
            <w:r>
              <w:rPr>
                <w:rFonts w:hint="default" w:ascii="Times New Roman" w:hAnsi="Times New Roman" w:eastAsia="宋体" w:cs="Times New Roman"/>
                <w:b/>
                <w:bCs/>
                <w:iCs/>
                <w:sz w:val="20"/>
                <w:szCs w:val="20"/>
                <w:highlight w:val="none"/>
              </w:rPr>
              <w:t xml:space="preserve">System parameters </w:t>
            </w:r>
          </w:p>
        </w:tc>
        <w:tc>
          <w:tcPr>
            <w:tcW w:w="3386" w:type="dxa"/>
          </w:tcPr>
          <w:p w14:paraId="1BCED677">
            <w:pPr>
              <w:pStyle w:val="17"/>
              <w:overflowPunct/>
              <w:autoSpaceDE/>
              <w:autoSpaceDN/>
              <w:adjustRightInd/>
              <w:spacing w:after="120"/>
              <w:ind w:firstLine="0" w:firstLineChars="0"/>
              <w:textAlignment w:val="auto"/>
              <w:rPr>
                <w:rFonts w:hint="default" w:ascii="Times New Roman" w:hAnsi="Times New Roman" w:eastAsia="宋体" w:cs="Times New Roman"/>
                <w:b/>
                <w:bCs/>
                <w:iCs/>
                <w:sz w:val="20"/>
                <w:szCs w:val="20"/>
                <w:highlight w:val="none"/>
              </w:rPr>
            </w:pPr>
            <w:r>
              <w:rPr>
                <w:rFonts w:hint="default" w:ascii="Times New Roman" w:hAnsi="Times New Roman" w:eastAsia="宋体" w:cs="Times New Roman"/>
                <w:b/>
                <w:bCs/>
                <w:iCs/>
                <w:sz w:val="20"/>
                <w:szCs w:val="20"/>
                <w:highlight w:val="none"/>
              </w:rPr>
              <w:t>Whether impacted by MRSS</w:t>
            </w:r>
          </w:p>
        </w:tc>
      </w:tr>
      <w:tr w14:paraId="31E37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04398C0D">
            <w:pPr>
              <w:pStyle w:val="17"/>
              <w:overflowPunct/>
              <w:autoSpaceDE/>
              <w:autoSpaceDN/>
              <w:adjustRightInd/>
              <w:spacing w:after="120"/>
              <w:ind w:firstLine="0" w:firstLineChars="0"/>
              <w:textAlignment w:val="auto"/>
              <w:rPr>
                <w:rFonts w:hint="default" w:ascii="Times New Roman" w:hAnsi="Times New Roman" w:eastAsia="宋体" w:cs="Times New Roman"/>
                <w:iCs/>
                <w:sz w:val="20"/>
                <w:szCs w:val="20"/>
                <w:highlight w:val="none"/>
              </w:rPr>
            </w:pPr>
            <w:r>
              <w:rPr>
                <w:rFonts w:hint="default" w:ascii="Times New Roman" w:hAnsi="Times New Roman" w:cs="Times New Roman"/>
                <w:sz w:val="20"/>
                <w:szCs w:val="20"/>
                <w:highlight w:val="none"/>
              </w:rPr>
              <w:t>Numerology</w:t>
            </w:r>
          </w:p>
        </w:tc>
        <w:tc>
          <w:tcPr>
            <w:tcW w:w="3386" w:type="dxa"/>
          </w:tcPr>
          <w:p w14:paraId="46DC1B56">
            <w:pPr>
              <w:pStyle w:val="17"/>
              <w:overflowPunct/>
              <w:autoSpaceDE/>
              <w:autoSpaceDN/>
              <w:adjustRightInd/>
              <w:spacing w:after="120"/>
              <w:ind w:firstLine="0" w:firstLineChars="0"/>
              <w:textAlignment w:val="auto"/>
              <w:rPr>
                <w:rFonts w:hint="default" w:ascii="Times New Roman" w:hAnsi="Times New Roman" w:eastAsia="宋体" w:cs="Times New Roman"/>
                <w:iCs/>
                <w:sz w:val="20"/>
                <w:szCs w:val="20"/>
                <w:highlight w:val="none"/>
              </w:rPr>
            </w:pPr>
            <w:r>
              <w:rPr>
                <w:rFonts w:hint="default" w:ascii="Times New Roman" w:hAnsi="Times New Roman" w:eastAsia="宋体" w:cs="Times New Roman"/>
                <w:iCs/>
                <w:sz w:val="20"/>
                <w:szCs w:val="20"/>
                <w:highlight w:val="none"/>
              </w:rPr>
              <w:t>Maybe impacted</w:t>
            </w:r>
          </w:p>
        </w:tc>
      </w:tr>
      <w:tr w14:paraId="09BE5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673ADA19">
            <w:pPr>
              <w:pStyle w:val="17"/>
              <w:overflowPunct/>
              <w:autoSpaceDE/>
              <w:autoSpaceDN/>
              <w:adjustRightInd/>
              <w:spacing w:after="120"/>
              <w:ind w:firstLine="0" w:firstLineChars="0"/>
              <w:textAlignment w:val="auto"/>
              <w:rPr>
                <w:rFonts w:hint="default" w:ascii="Times New Roman" w:hAnsi="Times New Roman" w:eastAsia="宋体" w:cs="Times New Roman"/>
                <w:iCs/>
                <w:sz w:val="20"/>
                <w:szCs w:val="20"/>
                <w:highlight w:val="none"/>
              </w:rPr>
            </w:pPr>
            <w:r>
              <w:rPr>
                <w:rFonts w:hint="default" w:ascii="Times New Roman" w:hAnsi="Times New Roman" w:cs="Times New Roman"/>
                <w:sz w:val="20"/>
                <w:szCs w:val="20"/>
                <w:highlight w:val="none"/>
              </w:rPr>
              <w:t>Channel raster</w:t>
            </w:r>
          </w:p>
        </w:tc>
        <w:tc>
          <w:tcPr>
            <w:tcW w:w="3386" w:type="dxa"/>
          </w:tcPr>
          <w:p w14:paraId="771F99C2">
            <w:pPr>
              <w:pStyle w:val="17"/>
              <w:overflowPunct/>
              <w:autoSpaceDE/>
              <w:autoSpaceDN/>
              <w:adjustRightInd/>
              <w:spacing w:after="120"/>
              <w:ind w:firstLine="0" w:firstLineChars="0"/>
              <w:textAlignment w:val="auto"/>
              <w:rPr>
                <w:rFonts w:hint="default" w:ascii="Times New Roman" w:hAnsi="Times New Roman" w:cs="Times New Roman"/>
                <w:iCs/>
                <w:sz w:val="20"/>
                <w:szCs w:val="20"/>
                <w:highlight w:val="none"/>
              </w:rPr>
            </w:pPr>
            <w:r>
              <w:rPr>
                <w:rFonts w:hint="default" w:ascii="Times New Roman" w:hAnsi="Times New Roman" w:eastAsia="宋体" w:cs="Times New Roman"/>
                <w:iCs/>
                <w:sz w:val="20"/>
                <w:szCs w:val="20"/>
                <w:highlight w:val="none"/>
              </w:rPr>
              <w:t>Maybe impacted</w:t>
            </w:r>
          </w:p>
        </w:tc>
      </w:tr>
      <w:tr w14:paraId="7AF9B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480DEA50">
            <w:pPr>
              <w:pStyle w:val="17"/>
              <w:overflowPunct/>
              <w:autoSpaceDE/>
              <w:autoSpaceDN/>
              <w:adjustRightInd/>
              <w:spacing w:after="120"/>
              <w:ind w:firstLine="0" w:firstLineChars="0"/>
              <w:textAlignment w:val="auto"/>
              <w:rPr>
                <w:rFonts w:hint="default" w:ascii="Times New Roman" w:hAnsi="Times New Roman" w:eastAsia="宋体" w:cs="Times New Roman"/>
                <w:iCs/>
                <w:sz w:val="20"/>
                <w:szCs w:val="20"/>
                <w:highlight w:val="none"/>
              </w:rPr>
            </w:pPr>
            <w:r>
              <w:rPr>
                <w:rFonts w:hint="default" w:ascii="Times New Roman" w:hAnsi="Times New Roman" w:cs="Times New Roman"/>
                <w:sz w:val="20"/>
                <w:szCs w:val="20"/>
                <w:highlight w:val="none"/>
              </w:rPr>
              <w:t>Sync raster</w:t>
            </w:r>
          </w:p>
        </w:tc>
        <w:tc>
          <w:tcPr>
            <w:tcW w:w="3386" w:type="dxa"/>
          </w:tcPr>
          <w:p w14:paraId="554478BF">
            <w:pPr>
              <w:pStyle w:val="17"/>
              <w:overflowPunct/>
              <w:autoSpaceDE/>
              <w:autoSpaceDN/>
              <w:adjustRightInd/>
              <w:spacing w:after="120"/>
              <w:ind w:firstLine="0" w:firstLineChars="0"/>
              <w:textAlignment w:val="auto"/>
              <w:rPr>
                <w:rFonts w:hint="default" w:ascii="Times New Roman" w:hAnsi="Times New Roman" w:cs="Times New Roman"/>
                <w:iCs/>
                <w:sz w:val="20"/>
                <w:szCs w:val="20"/>
                <w:highlight w:val="none"/>
              </w:rPr>
            </w:pPr>
            <w:r>
              <w:rPr>
                <w:rFonts w:hint="default" w:ascii="Times New Roman" w:hAnsi="Times New Roman" w:eastAsia="宋体" w:cs="Times New Roman"/>
                <w:iCs/>
                <w:sz w:val="20"/>
                <w:szCs w:val="20"/>
                <w:highlight w:val="none"/>
              </w:rPr>
              <w:t>Maybe impacted</w:t>
            </w:r>
          </w:p>
        </w:tc>
      </w:tr>
      <w:tr w14:paraId="4900C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14F0F8CD">
            <w:pPr>
              <w:pStyle w:val="17"/>
              <w:overflowPunct/>
              <w:autoSpaceDE/>
              <w:autoSpaceDN/>
              <w:adjustRightInd/>
              <w:spacing w:after="120"/>
              <w:ind w:firstLine="0" w:firstLineChars="0"/>
              <w:textAlignment w:val="auto"/>
              <w:rPr>
                <w:rFonts w:hint="default" w:ascii="Times New Roman" w:hAnsi="Times New Roman" w:cs="Times New Roman"/>
                <w:iCs/>
                <w:sz w:val="20"/>
                <w:szCs w:val="20"/>
                <w:highlight w:val="none"/>
              </w:rPr>
            </w:pPr>
            <w:r>
              <w:rPr>
                <w:rFonts w:hint="default" w:ascii="Times New Roman" w:hAnsi="Times New Roman" w:eastAsia="宋体" w:cs="Times New Roman"/>
                <w:iCs/>
                <w:sz w:val="20"/>
                <w:szCs w:val="20"/>
                <w:highlight w:val="none"/>
              </w:rPr>
              <w:t>Waveform</w:t>
            </w:r>
          </w:p>
        </w:tc>
        <w:tc>
          <w:tcPr>
            <w:tcW w:w="3386" w:type="dxa"/>
          </w:tcPr>
          <w:p w14:paraId="3865D83B">
            <w:pPr>
              <w:pStyle w:val="17"/>
              <w:overflowPunct/>
              <w:autoSpaceDE/>
              <w:autoSpaceDN/>
              <w:adjustRightInd/>
              <w:spacing w:after="120"/>
              <w:ind w:firstLine="0" w:firstLineChars="0"/>
              <w:textAlignment w:val="auto"/>
              <w:rPr>
                <w:rFonts w:hint="default" w:ascii="Times New Roman" w:hAnsi="Times New Roman" w:eastAsia="宋体" w:cs="Times New Roman"/>
                <w:iCs/>
                <w:sz w:val="20"/>
                <w:szCs w:val="20"/>
                <w:highlight w:val="none"/>
              </w:rPr>
            </w:pPr>
            <w:r>
              <w:rPr>
                <w:rFonts w:hint="default" w:ascii="Times New Roman" w:hAnsi="Times New Roman" w:eastAsia="宋体" w:cs="Times New Roman"/>
                <w:iCs/>
                <w:sz w:val="20"/>
                <w:szCs w:val="20"/>
                <w:highlight w:val="none"/>
              </w:rPr>
              <w:t>FFS</w:t>
            </w:r>
          </w:p>
        </w:tc>
      </w:tr>
      <w:tr w14:paraId="3C729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51352F87">
            <w:pPr>
              <w:pStyle w:val="17"/>
              <w:overflowPunct/>
              <w:autoSpaceDE/>
              <w:autoSpaceDN/>
              <w:adjustRightInd/>
              <w:spacing w:after="120"/>
              <w:ind w:firstLine="0" w:firstLineChars="0"/>
              <w:textAlignment w:val="auto"/>
              <w:rPr>
                <w:rFonts w:hint="default" w:ascii="Times New Roman" w:hAnsi="Times New Roman" w:cs="Times New Roman"/>
                <w:iCs/>
                <w:sz w:val="20"/>
                <w:szCs w:val="20"/>
                <w:highlight w:val="none"/>
              </w:rPr>
            </w:pPr>
            <w:r>
              <w:rPr>
                <w:rFonts w:hint="default" w:ascii="Times New Roman" w:hAnsi="Times New Roman" w:eastAsia="宋体" w:cs="Times New Roman"/>
                <w:iCs/>
                <w:sz w:val="20"/>
                <w:szCs w:val="20"/>
                <w:highlight w:val="none"/>
              </w:rPr>
              <w:t>Modulation</w:t>
            </w:r>
          </w:p>
        </w:tc>
        <w:tc>
          <w:tcPr>
            <w:tcW w:w="3386" w:type="dxa"/>
          </w:tcPr>
          <w:p w14:paraId="348723B3">
            <w:pPr>
              <w:pStyle w:val="17"/>
              <w:overflowPunct/>
              <w:autoSpaceDE/>
              <w:autoSpaceDN/>
              <w:adjustRightInd/>
              <w:spacing w:after="120"/>
              <w:ind w:firstLine="0" w:firstLineChars="0"/>
              <w:textAlignment w:val="auto"/>
              <w:rPr>
                <w:rFonts w:hint="default" w:ascii="Times New Roman" w:hAnsi="Times New Roman" w:eastAsia="宋体" w:cs="Times New Roman"/>
                <w:iCs/>
                <w:sz w:val="20"/>
                <w:szCs w:val="20"/>
                <w:highlight w:val="none"/>
              </w:rPr>
            </w:pPr>
            <w:r>
              <w:rPr>
                <w:rFonts w:hint="default" w:ascii="Times New Roman" w:hAnsi="Times New Roman" w:eastAsia="宋体" w:cs="Times New Roman"/>
                <w:iCs/>
                <w:sz w:val="20"/>
                <w:szCs w:val="20"/>
                <w:highlight w:val="none"/>
              </w:rPr>
              <w:t>FFS</w:t>
            </w:r>
          </w:p>
        </w:tc>
      </w:tr>
      <w:tr w14:paraId="15987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384EC9CF">
            <w:pPr>
              <w:pStyle w:val="17"/>
              <w:overflowPunct/>
              <w:autoSpaceDE/>
              <w:autoSpaceDN/>
              <w:adjustRightInd/>
              <w:spacing w:after="120"/>
              <w:ind w:firstLine="0" w:firstLineChars="0"/>
              <w:textAlignment w:val="auto"/>
              <w:rPr>
                <w:rFonts w:hint="default" w:ascii="Times New Roman" w:hAnsi="Times New Roman" w:cs="Times New Roman"/>
                <w:iCs/>
                <w:sz w:val="20"/>
                <w:szCs w:val="20"/>
                <w:highlight w:val="none"/>
              </w:rPr>
            </w:pPr>
            <w:r>
              <w:rPr>
                <w:rFonts w:hint="default" w:ascii="Times New Roman" w:hAnsi="Times New Roman" w:eastAsia="宋体" w:cs="Times New Roman"/>
                <w:iCs/>
                <w:sz w:val="20"/>
                <w:szCs w:val="20"/>
                <w:highlight w:val="none"/>
              </w:rPr>
              <w:t>Channel bandwidth</w:t>
            </w:r>
          </w:p>
        </w:tc>
        <w:tc>
          <w:tcPr>
            <w:tcW w:w="3386" w:type="dxa"/>
          </w:tcPr>
          <w:p w14:paraId="0B726B52">
            <w:pPr>
              <w:pStyle w:val="17"/>
              <w:overflowPunct/>
              <w:autoSpaceDE/>
              <w:autoSpaceDN/>
              <w:adjustRightInd/>
              <w:spacing w:after="120"/>
              <w:ind w:firstLine="0" w:firstLineChars="0"/>
              <w:textAlignment w:val="auto"/>
              <w:rPr>
                <w:rFonts w:hint="default" w:ascii="Times New Roman" w:hAnsi="Times New Roman" w:eastAsia="宋体" w:cs="Times New Roman"/>
                <w:iCs/>
                <w:sz w:val="20"/>
                <w:szCs w:val="20"/>
                <w:highlight w:val="none"/>
              </w:rPr>
            </w:pPr>
            <w:r>
              <w:rPr>
                <w:rFonts w:hint="default" w:ascii="Times New Roman" w:hAnsi="Times New Roman" w:eastAsia="宋体" w:cs="Times New Roman"/>
                <w:iCs/>
                <w:sz w:val="20"/>
                <w:szCs w:val="20"/>
                <w:highlight w:val="none"/>
              </w:rPr>
              <w:t>FFS</w:t>
            </w:r>
          </w:p>
        </w:tc>
      </w:tr>
    </w:tbl>
    <w:p w14:paraId="101CFC4A">
      <w:pPr>
        <w:spacing w:after="180" w:line="240" w:lineRule="exact"/>
        <w:rPr>
          <w:rFonts w:hint="default" w:ascii="Times New Roman" w:hAnsi="Times New Roman" w:eastAsia="等线"/>
          <w:bCs/>
          <w:iCs/>
          <w:sz w:val="20"/>
          <w:szCs w:val="20"/>
          <w:lang w:val="en-US" w:eastAsia="zh-CN"/>
        </w:rPr>
      </w:pPr>
    </w:p>
    <w:p w14:paraId="695D2328">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Different sub-carrier spacing for MRSS between 5G and 6G will increase the spectral leakage and introduce ICI. The scheduling coordination would be very complicated and the efficiency for spectrum sharing will be decreased. To facilitate MRSS between 5G NR and 6GR within legacy bands, it is expected that 6GR support the SCS configurations currently predominant in 5G NR deployments. </w:t>
      </w:r>
    </w:p>
    <w:p w14:paraId="41A8B093">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last meeting, RAN1 has agreed that 15kHz SCS for FDD and 30kHz SCS for TDD are supported for sub 6GHz. </w:t>
      </w:r>
      <w:r>
        <w:rPr>
          <w:rFonts w:ascii="Times New Roman" w:hAnsi="Times New Roman" w:eastAsia="等线"/>
          <w:sz w:val="20"/>
          <w:szCs w:val="20"/>
        </w:rPr>
        <w:t>120kHz is supported</w:t>
      </w:r>
      <w:r>
        <w:rPr>
          <w:rFonts w:hint="eastAsia" w:ascii="Times New Roman" w:hAnsi="Times New Roman" w:eastAsia="等线"/>
          <w:sz w:val="20"/>
          <w:szCs w:val="20"/>
          <w:lang w:val="en-US" w:eastAsia="zh-CN"/>
        </w:rPr>
        <w:t xml:space="preserve"> for the frequency range between 24.25GHz - 52.6GHz. </w:t>
      </w:r>
      <w:r>
        <w:rPr>
          <w:rFonts w:hint="eastAsia" w:ascii="Times New Roman" w:hAnsi="Times New Roman" w:eastAsia="等线"/>
          <w:bCs/>
          <w:iCs/>
          <w:sz w:val="20"/>
          <w:szCs w:val="20"/>
          <w:lang w:val="en-US" w:eastAsia="zh-CN"/>
        </w:rPr>
        <w:t>FFS other SCS options. It is proposed to follow RAN1 agreements.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6740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38DCF87">
            <w:pPr>
              <w:adjustRightInd w:val="0"/>
              <w:snapToGrid w:val="0"/>
              <w:spacing w:after="120"/>
              <w:rPr>
                <w:rFonts w:hint="default" w:ascii="Times New Roman" w:hAnsi="Times New Roman" w:eastAsia="等线"/>
                <w:sz w:val="20"/>
                <w:szCs w:val="20"/>
                <w:highlight w:val="green"/>
                <w:lang w:val="en-US" w:eastAsia="zh-CN"/>
              </w:rPr>
            </w:pPr>
            <w:r>
              <w:rPr>
                <w:rFonts w:ascii="Times New Roman" w:hAnsi="Times New Roman" w:eastAsia="等线"/>
                <w:sz w:val="20"/>
                <w:szCs w:val="20"/>
                <w:highlight w:val="green"/>
              </w:rPr>
              <w:t>Agreement</w:t>
            </w:r>
            <w:r>
              <w:rPr>
                <w:rFonts w:hint="eastAsia" w:ascii="Times New Roman" w:hAnsi="Times New Roman" w:eastAsia="等线"/>
                <w:sz w:val="20"/>
                <w:szCs w:val="20"/>
                <w:highlight w:val="green"/>
                <w:lang w:val="en-US" w:eastAsia="zh-CN"/>
              </w:rPr>
              <w:t>s in RAN#109</w:t>
            </w:r>
          </w:p>
          <w:p w14:paraId="7DBECE21">
            <w:pPr>
              <w:pStyle w:val="17"/>
              <w:widowControl w:val="0"/>
              <w:numPr>
                <w:ilvl w:val="0"/>
                <w:numId w:val="16"/>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 xml:space="preserve">6GR takes the following SCS as start point for discussion for all the signals/channels except PRACH. </w:t>
            </w:r>
          </w:p>
          <w:p w14:paraId="195A732A">
            <w:pPr>
              <w:pStyle w:val="17"/>
              <w:widowControl w:val="0"/>
              <w:numPr>
                <w:ilvl w:val="1"/>
                <w:numId w:val="16"/>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For sub 6GHz</w:t>
            </w:r>
          </w:p>
          <w:p w14:paraId="38BD6108">
            <w:pPr>
              <w:pStyle w:val="17"/>
              <w:widowControl w:val="0"/>
              <w:numPr>
                <w:ilvl w:val="2"/>
                <w:numId w:val="16"/>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The following subcarrier spacing is at least supported</w:t>
            </w:r>
          </w:p>
          <w:p w14:paraId="23BEDBCF">
            <w:pPr>
              <w:pStyle w:val="17"/>
              <w:widowControl w:val="0"/>
              <w:numPr>
                <w:ilvl w:val="3"/>
                <w:numId w:val="16"/>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15kHz SCS for FDD, 30kHz SCS for TDD</w:t>
            </w:r>
          </w:p>
          <w:p w14:paraId="5F7CD551">
            <w:pPr>
              <w:pStyle w:val="17"/>
              <w:widowControl w:val="0"/>
              <w:numPr>
                <w:ilvl w:val="2"/>
                <w:numId w:val="16"/>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FFS: 30kHz SCS for FDD for around e.g., 1-2.5GHz</w:t>
            </w:r>
          </w:p>
          <w:p w14:paraId="44D2C0AF">
            <w:pPr>
              <w:pStyle w:val="17"/>
              <w:widowControl w:val="0"/>
              <w:numPr>
                <w:ilvl w:val="2"/>
                <w:numId w:val="16"/>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FFS: 7.5kHz SCS for sub1GHz (FDD)</w:t>
            </w:r>
          </w:p>
          <w:p w14:paraId="0B3F144F">
            <w:pPr>
              <w:pStyle w:val="17"/>
              <w:widowControl w:val="0"/>
              <w:numPr>
                <w:ilvl w:val="2"/>
                <w:numId w:val="16"/>
              </w:numPr>
              <w:adjustRightInd w:val="0"/>
              <w:snapToGrid w:val="0"/>
              <w:spacing w:before="120" w:after="120"/>
              <w:ind w:leftChars="0"/>
              <w:rPr>
                <w:rFonts w:ascii="Times New Roman" w:hAnsi="Times New Roman" w:eastAsia="等线"/>
                <w:strike/>
                <w:sz w:val="20"/>
                <w:szCs w:val="20"/>
              </w:rPr>
            </w:pPr>
            <w:r>
              <w:rPr>
                <w:rFonts w:ascii="Times New Roman" w:hAnsi="Times New Roman" w:eastAsia="等线"/>
                <w:strike/>
                <w:sz w:val="20"/>
                <w:szCs w:val="20"/>
              </w:rPr>
              <w:t>Whether to discuss the FFS will be subject to RANP decision.</w:t>
            </w:r>
          </w:p>
          <w:p w14:paraId="562A0050">
            <w:pPr>
              <w:pStyle w:val="17"/>
              <w:widowControl w:val="0"/>
              <w:numPr>
                <w:ilvl w:val="1"/>
                <w:numId w:val="16"/>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For around 7GHz</w:t>
            </w:r>
          </w:p>
          <w:p w14:paraId="490768A3">
            <w:pPr>
              <w:pStyle w:val="17"/>
              <w:widowControl w:val="0"/>
              <w:numPr>
                <w:ilvl w:val="2"/>
                <w:numId w:val="16"/>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The following subcarrier spacing options can be studied</w:t>
            </w:r>
          </w:p>
          <w:p w14:paraId="4889E380">
            <w:pPr>
              <w:pStyle w:val="17"/>
              <w:widowControl w:val="0"/>
              <w:numPr>
                <w:ilvl w:val="3"/>
                <w:numId w:val="16"/>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30kHz, 60kHz</w:t>
            </w:r>
          </w:p>
          <w:p w14:paraId="397C3E86">
            <w:pPr>
              <w:pStyle w:val="17"/>
              <w:widowControl w:val="0"/>
              <w:numPr>
                <w:ilvl w:val="1"/>
                <w:numId w:val="16"/>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FFS: For around 15GHz</w:t>
            </w:r>
          </w:p>
          <w:p w14:paraId="15D68CE1">
            <w:pPr>
              <w:pStyle w:val="17"/>
              <w:widowControl w:val="0"/>
              <w:numPr>
                <w:ilvl w:val="2"/>
                <w:numId w:val="16"/>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The following subcarrier spacing options can be studied</w:t>
            </w:r>
          </w:p>
          <w:p w14:paraId="313D964C">
            <w:pPr>
              <w:pStyle w:val="17"/>
              <w:widowControl w:val="0"/>
              <w:numPr>
                <w:ilvl w:val="3"/>
                <w:numId w:val="16"/>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 xml:space="preserve">30kHz, 60kHz, 120kHz </w:t>
            </w:r>
          </w:p>
          <w:p w14:paraId="4225FF09">
            <w:pPr>
              <w:pStyle w:val="17"/>
              <w:widowControl w:val="0"/>
              <w:numPr>
                <w:ilvl w:val="2"/>
                <w:numId w:val="16"/>
              </w:numPr>
              <w:adjustRightInd w:val="0"/>
              <w:snapToGrid w:val="0"/>
              <w:spacing w:before="120" w:after="120"/>
              <w:ind w:leftChars="0"/>
              <w:rPr>
                <w:rFonts w:ascii="Times New Roman" w:hAnsi="Times New Roman" w:eastAsia="等线"/>
                <w:strike/>
                <w:sz w:val="20"/>
                <w:szCs w:val="20"/>
              </w:rPr>
            </w:pPr>
            <w:r>
              <w:rPr>
                <w:rFonts w:ascii="Times New Roman" w:hAnsi="Times New Roman" w:eastAsia="等线"/>
                <w:strike/>
                <w:sz w:val="20"/>
                <w:szCs w:val="20"/>
              </w:rPr>
              <w:t>Whether to discuss it will be subject to RANP decision</w:t>
            </w:r>
          </w:p>
          <w:p w14:paraId="05B010FA">
            <w:pPr>
              <w:pStyle w:val="17"/>
              <w:widowControl w:val="0"/>
              <w:numPr>
                <w:ilvl w:val="1"/>
                <w:numId w:val="16"/>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For between 24.25GHz - 52.6GHz</w:t>
            </w:r>
          </w:p>
          <w:p w14:paraId="6A48FF9C">
            <w:pPr>
              <w:pStyle w:val="17"/>
              <w:widowControl w:val="0"/>
              <w:numPr>
                <w:ilvl w:val="2"/>
                <w:numId w:val="16"/>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Subcarrier spacing 120kHz is supported</w:t>
            </w:r>
          </w:p>
          <w:p w14:paraId="21DF2088">
            <w:pPr>
              <w:pStyle w:val="17"/>
              <w:widowControl w:val="0"/>
              <w:numPr>
                <w:ilvl w:val="1"/>
                <w:numId w:val="16"/>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FFS whether to allow using additional subcarrier spacing for SSB</w:t>
            </w:r>
          </w:p>
          <w:p w14:paraId="0CE50C6E">
            <w:pPr>
              <w:pStyle w:val="17"/>
              <w:widowControl w:val="0"/>
              <w:numPr>
                <w:ilvl w:val="0"/>
                <w:numId w:val="16"/>
              </w:numPr>
              <w:adjustRightInd w:val="0"/>
              <w:snapToGrid w:val="0"/>
              <w:spacing w:before="120" w:after="120"/>
              <w:ind w:leftChars="0"/>
              <w:rPr>
                <w:rFonts w:hint="eastAsia" w:ascii="Times New Roman" w:hAnsi="Times New Roman" w:eastAsia="等线"/>
                <w:bCs/>
                <w:iCs/>
                <w:sz w:val="20"/>
                <w:szCs w:val="20"/>
                <w:vertAlign w:val="baseline"/>
                <w:lang w:val="en-US" w:eastAsia="zh-CN"/>
              </w:rPr>
            </w:pPr>
            <w:r>
              <w:rPr>
                <w:rFonts w:ascii="Times New Roman" w:hAnsi="Times New Roman" w:eastAsia="等线"/>
                <w:sz w:val="20"/>
                <w:szCs w:val="20"/>
              </w:rPr>
              <w:t>FFS subcarrier spacing for PRACH and up to initial access discussion.</w:t>
            </w:r>
          </w:p>
          <w:p w14:paraId="7296BE5C">
            <w:pPr>
              <w:adjustRightInd w:val="0"/>
              <w:snapToGrid w:val="0"/>
              <w:spacing w:after="120"/>
              <w:rPr>
                <w:rFonts w:ascii="Times New Roman" w:hAnsi="Times New Roman" w:eastAsia="等线"/>
                <w:sz w:val="20"/>
                <w:szCs w:val="20"/>
                <w:highlight w:val="green"/>
              </w:rPr>
            </w:pPr>
          </w:p>
          <w:p w14:paraId="146BC562">
            <w:pPr>
              <w:adjustRightInd w:val="0"/>
              <w:snapToGrid w:val="0"/>
              <w:spacing w:after="120"/>
              <w:rPr>
                <w:rFonts w:hint="default" w:ascii="Times New Roman" w:hAnsi="Times New Roman" w:eastAsia="等线"/>
                <w:sz w:val="20"/>
                <w:szCs w:val="20"/>
                <w:highlight w:val="green"/>
                <w:lang w:val="en-US" w:eastAsia="zh-CN"/>
              </w:rPr>
            </w:pPr>
            <w:r>
              <w:rPr>
                <w:rFonts w:ascii="Times New Roman" w:hAnsi="Times New Roman" w:eastAsia="等线"/>
                <w:sz w:val="20"/>
                <w:szCs w:val="20"/>
                <w:highlight w:val="green"/>
              </w:rPr>
              <w:t>Agreement</w:t>
            </w:r>
            <w:r>
              <w:rPr>
                <w:rFonts w:hint="eastAsia" w:ascii="Times New Roman" w:hAnsi="Times New Roman" w:eastAsia="等线"/>
                <w:sz w:val="20"/>
                <w:szCs w:val="20"/>
                <w:highlight w:val="green"/>
                <w:lang w:val="en-US" w:eastAsia="zh-CN"/>
              </w:rPr>
              <w:t>s in RAN1#112bis</w:t>
            </w:r>
          </w:p>
          <w:p w14:paraId="79B15868">
            <w:pPr>
              <w:pStyle w:val="17"/>
              <w:numPr>
                <w:ilvl w:val="0"/>
                <w:numId w:val="17"/>
              </w:numPr>
              <w:spacing w:after="160"/>
              <w:ind w:left="-400" w:leftChars="0"/>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RAN1 assumes </w:t>
            </w:r>
            <w:r>
              <w:rPr>
                <w:rFonts w:hint="default" w:ascii="Times New Roman" w:hAnsi="Times New Roman" w:cs="Times New Roman" w:eastAsiaTheme="minorEastAsia"/>
                <w:sz w:val="20"/>
                <w:szCs w:val="20"/>
                <w:lang w:val="en-US" w:eastAsia="zh-CN"/>
              </w:rPr>
              <w:t xml:space="preserve">400MHz </w:t>
            </w:r>
            <w:r>
              <w:rPr>
                <w:rFonts w:hint="default" w:ascii="Times New Roman" w:hAnsi="Times New Roman" w:cs="Times New Roman" w:eastAsiaTheme="minorEastAsia"/>
                <w:sz w:val="20"/>
                <w:szCs w:val="20"/>
                <w:lang w:eastAsia="zh-CN"/>
              </w:rPr>
              <w:t>maximum channel bandwidth</w:t>
            </w:r>
            <w:r>
              <w:rPr>
                <w:rFonts w:hint="default" w:ascii="Times New Roman" w:hAnsi="Times New Roman" w:cs="Times New Roman" w:eastAsiaTheme="minorEastAsia"/>
                <w:sz w:val="20"/>
                <w:szCs w:val="20"/>
                <w:lang w:val="en-US" w:eastAsia="zh-CN"/>
              </w:rPr>
              <w:t xml:space="preserve"> </w:t>
            </w:r>
            <w:r>
              <w:rPr>
                <w:rFonts w:hint="default" w:ascii="Times New Roman" w:hAnsi="Times New Roman" w:cs="Times New Roman" w:eastAsiaTheme="minorEastAsia"/>
                <w:sz w:val="20"/>
                <w:szCs w:val="20"/>
                <w:lang w:eastAsia="zh-CN"/>
              </w:rPr>
              <w:t>at network side</w:t>
            </w:r>
            <w:r>
              <w:rPr>
                <w:rFonts w:hint="default" w:ascii="Times New Roman" w:hAnsi="Times New Roman" w:cs="Times New Roman" w:eastAsiaTheme="minorEastAsia"/>
                <w:sz w:val="20"/>
                <w:szCs w:val="20"/>
                <w:lang w:val="en-US" w:eastAsia="zh-CN"/>
              </w:rPr>
              <w:t xml:space="preserve"> and 30kHz SCS</w:t>
            </w:r>
            <w:r>
              <w:rPr>
                <w:rFonts w:hint="default" w:ascii="Times New Roman" w:hAnsi="Times New Roman" w:cs="Times New Roman" w:eastAsiaTheme="minorEastAsia"/>
                <w:sz w:val="20"/>
                <w:szCs w:val="20"/>
                <w:lang w:eastAsia="zh-CN"/>
              </w:rPr>
              <w:t xml:space="preserve"> </w:t>
            </w:r>
            <w:r>
              <w:rPr>
                <w:rFonts w:hint="default" w:ascii="Times New Roman" w:hAnsi="Times New Roman" w:cs="Times New Roman" w:eastAsiaTheme="minorEastAsia"/>
                <w:sz w:val="20"/>
                <w:szCs w:val="20"/>
                <w:lang w:val="en-US" w:eastAsia="zh-CN"/>
              </w:rPr>
              <w:t>around 7GHz</w:t>
            </w:r>
            <w:r>
              <w:rPr>
                <w:rFonts w:hint="default" w:ascii="Times New Roman" w:hAnsi="Times New Roman" w:cs="Times New Roman" w:eastAsiaTheme="minorEastAsia"/>
                <w:sz w:val="20"/>
                <w:szCs w:val="20"/>
                <w:lang w:eastAsia="zh-CN"/>
              </w:rPr>
              <w:t xml:space="preserve"> </w:t>
            </w:r>
          </w:p>
          <w:p w14:paraId="55C90435">
            <w:pPr>
              <w:pStyle w:val="17"/>
              <w:numPr>
                <w:ilvl w:val="0"/>
                <w:numId w:val="18"/>
              </w:numPr>
              <w:ind w:left="40" w:left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Study whether and how to enable UE to support 400MHz bandwidth </w:t>
            </w:r>
          </w:p>
          <w:p w14:paraId="78F4F57F">
            <w:pPr>
              <w:pStyle w:val="17"/>
              <w:widowControl w:val="0"/>
              <w:numPr>
                <w:ilvl w:val="0"/>
                <w:numId w:val="0"/>
              </w:numPr>
              <w:adjustRightInd w:val="0"/>
              <w:snapToGrid w:val="0"/>
              <w:spacing w:before="120" w:after="120"/>
              <w:rPr>
                <w:rFonts w:hint="eastAsia" w:ascii="Times New Roman" w:hAnsi="Times New Roman" w:eastAsia="等线"/>
                <w:bCs/>
                <w:iCs/>
                <w:sz w:val="20"/>
                <w:szCs w:val="20"/>
                <w:vertAlign w:val="baseline"/>
                <w:lang w:val="en-US" w:eastAsia="zh-CN"/>
              </w:rPr>
            </w:pPr>
          </w:p>
        </w:tc>
      </w:tr>
    </w:tbl>
    <w:p w14:paraId="7593D64F">
      <w:pPr>
        <w:spacing w:after="180" w:line="240" w:lineRule="exact"/>
        <w:rPr>
          <w:rFonts w:hint="eastAsia" w:ascii="Times New Roman" w:hAnsi="Times New Roman" w:eastAsia="等线"/>
          <w:bCs/>
          <w:iCs/>
          <w:sz w:val="20"/>
          <w:szCs w:val="20"/>
          <w:lang w:val="en-US" w:eastAsia="zh-CN"/>
        </w:rPr>
      </w:pPr>
    </w:p>
    <w:p w14:paraId="2A5ECDC2">
      <w:pPr>
        <w:spacing w:after="180" w:line="240" w:lineRule="exact"/>
        <w:rPr>
          <w:rFonts w:hint="eastAsia"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3: the alignment between 5G and 6G numerology will facilitate MRSS. It is proposed to follow RAN1 agreements to take 15KHz SCS for FDD and 30KHz SCS for TDD for sub 6GHz.</w:t>
      </w:r>
    </w:p>
    <w:p w14:paraId="19F8749C">
      <w:pPr>
        <w:spacing w:after="180" w:line="240" w:lineRule="exact"/>
        <w:rPr>
          <w:rFonts w:hint="eastAsia"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To facilitate MRSS, channel raster also need to be considered. If the channel raster are not aligned for MRSS between 5G and 6G, it will complex the scheduling and reduce spectrum efficiency. In NR, 100KHz channel raster are considered for band below 3GHz except band n41 to align with LTE channel raster. For MRSS between NR and 6G, we are not sure whether 100KHz channel raster are still needed for low band, and can be further discussed.</w:t>
      </w:r>
    </w:p>
    <w:p w14:paraId="4AF2FE00">
      <w:pPr>
        <w:spacing w:after="180" w:line="240" w:lineRule="exact"/>
        <w:rPr>
          <w:rFonts w:hint="default"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4: For MRSS between NR and 6GR, it is proposed to discuss whether 100KHz channel raster for low band are still needed.</w:t>
      </w:r>
    </w:p>
    <w:p w14:paraId="4C82ABCB">
      <w:pPr>
        <w:spacing w:after="180" w:line="240" w:lineRule="exact"/>
        <w:rPr>
          <w:rFonts w:hint="eastAsia"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 xml:space="preserve">7.5KHz uplink shift is considered for Dynamic Spectrum Sharing (DSS) between LTE and NR. Since LTE uplink and NR uplink adopt different waveform, 7.5KHz Uplink shift is used to guarantee the orthogonality between carriers and avoid inter-carrier inference. As discussed above, RAN1 has agreed that the </w:t>
      </w:r>
      <w:r>
        <w:rPr>
          <w:rFonts w:hint="default" w:ascii="Times New Roman" w:hAnsi="Times New Roman" w:cs="Times New Roman"/>
          <w:sz w:val="20"/>
          <w:szCs w:val="20"/>
          <w:highlight w:val="none"/>
        </w:rPr>
        <w:t xml:space="preserve">waveforms defined in 5G NR </w:t>
      </w:r>
      <w:r>
        <w:rPr>
          <w:rFonts w:hint="default" w:ascii="Times New Roman" w:hAnsi="Times New Roman" w:eastAsia="等线" w:cs="Times New Roman"/>
          <w:sz w:val="20"/>
          <w:szCs w:val="20"/>
          <w:highlight w:val="none"/>
          <w:lang w:eastAsia="zh-CN"/>
        </w:rPr>
        <w:t xml:space="preserve">are supported as the basis </w:t>
      </w:r>
      <w:r>
        <w:rPr>
          <w:rFonts w:hint="default" w:ascii="Times New Roman" w:hAnsi="Times New Roman" w:cs="Times New Roman"/>
          <w:sz w:val="20"/>
          <w:szCs w:val="20"/>
          <w:highlight w:val="none"/>
        </w:rPr>
        <w:t>for 6GR</w:t>
      </w:r>
      <w:r>
        <w:rPr>
          <w:rFonts w:hint="eastAsia" w:ascii="Times New Roman" w:hAnsi="Times New Roman" w:cs="Times New Roman"/>
          <w:sz w:val="20"/>
          <w:szCs w:val="20"/>
          <w:highlight w:val="none"/>
          <w:lang w:val="en-US" w:eastAsia="zh-CN"/>
        </w:rPr>
        <w:t xml:space="preserve">, i.e. CP-OFDM and DFT-s-OFDM waveforms are supported for 6GR for uplink. No need to consider </w:t>
      </w:r>
      <w:r>
        <w:rPr>
          <w:rFonts w:hint="eastAsia" w:ascii="Times New Roman" w:hAnsi="Times New Roman" w:eastAsia="等线"/>
          <w:bCs/>
          <w:iCs/>
          <w:sz w:val="20"/>
          <w:szCs w:val="20"/>
          <w:highlight w:val="none"/>
          <w:lang w:val="en-US" w:eastAsia="zh-CN"/>
        </w:rPr>
        <w:t>7.5KHz Uplink shift for MRSS between NR and 6GR.</w:t>
      </w:r>
    </w:p>
    <w:p w14:paraId="7F91BA34">
      <w:pPr>
        <w:spacing w:after="180" w:line="240" w:lineRule="exact"/>
        <w:rPr>
          <w:rFonts w:hint="eastAsia" w:ascii="Times New Roman" w:hAnsi="Times New Roman" w:eastAsia="等线"/>
          <w:bCs/>
          <w:iCs/>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 xml:space="preserve">Proposal 5: </w:t>
      </w:r>
      <w:r>
        <w:rPr>
          <w:rFonts w:hint="eastAsia" w:ascii="Times New Roman" w:hAnsi="Times New Roman" w:cs="Times New Roman"/>
          <w:b/>
          <w:bCs w:val="0"/>
          <w:i/>
          <w:iCs w:val="0"/>
          <w:sz w:val="20"/>
          <w:szCs w:val="20"/>
          <w:highlight w:val="none"/>
          <w:lang w:val="en-US" w:eastAsia="zh-CN"/>
        </w:rPr>
        <w:t xml:space="preserve">No need to consider </w:t>
      </w:r>
      <w:r>
        <w:rPr>
          <w:rFonts w:hint="eastAsia" w:ascii="Times New Roman" w:hAnsi="Times New Roman" w:eastAsia="等线"/>
          <w:b/>
          <w:bCs w:val="0"/>
          <w:i/>
          <w:iCs w:val="0"/>
          <w:sz w:val="20"/>
          <w:szCs w:val="20"/>
          <w:highlight w:val="none"/>
          <w:lang w:val="en-US" w:eastAsia="zh-CN"/>
        </w:rPr>
        <w:t>7.5KHz uplink shift for MRSS between NR and 6GR.</w:t>
      </w:r>
    </w:p>
    <w:p w14:paraId="1189A036">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The 6G waveform need to be orthogonal with 5G waveform to facilitate MRSS. Whether 5G and 6G transmissions can co-exist within shared spectrum is impacted by time-frequency orthogonality.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6BF7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EFC81BA">
            <w:pPr>
              <w:spacing w:after="180" w:line="240" w:lineRule="exact"/>
              <w:rPr>
                <w:rFonts w:hint="default" w:ascii="Times New Roman" w:hAnsi="Times New Roman" w:eastAsia="等线"/>
                <w:b/>
                <w:bCs w:val="0"/>
                <w:iCs/>
                <w:sz w:val="20"/>
                <w:szCs w:val="20"/>
                <w:vertAlign w:val="baseline"/>
                <w:lang w:val="en-US" w:eastAsia="zh-CN"/>
              </w:rPr>
            </w:pPr>
            <w:r>
              <w:rPr>
                <w:rFonts w:hint="eastAsia" w:ascii="Times New Roman" w:hAnsi="Times New Roman" w:eastAsia="等线"/>
                <w:b/>
                <w:bCs w:val="0"/>
                <w:iCs/>
                <w:sz w:val="20"/>
                <w:szCs w:val="20"/>
                <w:vertAlign w:val="baseline"/>
                <w:lang w:val="en-US" w:eastAsia="zh-CN"/>
              </w:rPr>
              <w:t>Agreements in RAN1 #122 meeting</w:t>
            </w:r>
          </w:p>
          <w:p w14:paraId="2C932A09">
            <w:pPr>
              <w:rPr>
                <w:rFonts w:hint="default" w:ascii="Times New Roman" w:hAnsi="Times New Roman" w:eastAsia="等线" w:cs="Times New Roman"/>
                <w:sz w:val="20"/>
                <w:szCs w:val="20"/>
                <w:lang w:eastAsia="zh-CN"/>
              </w:rPr>
            </w:pPr>
            <w:r>
              <w:rPr>
                <w:rFonts w:hint="default" w:ascii="Times New Roman" w:hAnsi="Times New Roman" w:cs="Times New Roman"/>
                <w:sz w:val="20"/>
                <w:szCs w:val="20"/>
              </w:rPr>
              <w:t xml:space="preserve">CP-OFDM </w:t>
            </w:r>
            <w:r>
              <w:rPr>
                <w:rFonts w:hint="default" w:ascii="Times New Roman" w:hAnsi="Times New Roman" w:eastAsia="等线" w:cs="Times New Roman"/>
                <w:sz w:val="20"/>
                <w:szCs w:val="20"/>
                <w:lang w:eastAsia="zh-CN"/>
              </w:rPr>
              <w:t>and</w:t>
            </w:r>
            <w:r>
              <w:rPr>
                <w:rFonts w:hint="default" w:ascii="Times New Roman" w:hAnsi="Times New Roman" w:cs="Times New Roman"/>
                <w:sz w:val="20"/>
                <w:szCs w:val="20"/>
              </w:rPr>
              <w:t xml:space="preserve"> DFT-s-OFDM waveforms as defined in 5G NR </w:t>
            </w:r>
            <w:r>
              <w:rPr>
                <w:rFonts w:hint="default" w:ascii="Times New Roman" w:hAnsi="Times New Roman" w:eastAsia="等线" w:cs="Times New Roman"/>
                <w:sz w:val="20"/>
                <w:szCs w:val="20"/>
                <w:lang w:eastAsia="zh-CN"/>
              </w:rPr>
              <w:t xml:space="preserve">are supported as the basis </w:t>
            </w:r>
            <w:r>
              <w:rPr>
                <w:rFonts w:hint="default" w:ascii="Times New Roman" w:hAnsi="Times New Roman" w:cs="Times New Roman"/>
                <w:sz w:val="20"/>
                <w:szCs w:val="20"/>
              </w:rPr>
              <w:t>for 6GR for uplink</w:t>
            </w:r>
          </w:p>
          <w:p w14:paraId="271854D8">
            <w:pPr>
              <w:pStyle w:val="17"/>
              <w:numPr>
                <w:ilvl w:val="0"/>
                <w:numId w:val="19"/>
              </w:numPr>
              <w:rPr>
                <w:rFonts w:hint="default" w:ascii="Times New Roman" w:hAnsi="Times New Roman" w:cs="Times New Roman"/>
                <w:sz w:val="20"/>
                <w:szCs w:val="20"/>
              </w:rPr>
            </w:pPr>
            <w:r>
              <w:rPr>
                <w:rFonts w:hint="default" w:ascii="Times New Roman" w:hAnsi="Times New Roman" w:cs="Times New Roman"/>
                <w:sz w:val="20"/>
                <w:szCs w:val="20"/>
              </w:rPr>
              <w:t>Enhancements/modifications on CP-OFDM/DFT-s-OFDM will be studied as potential additions</w:t>
            </w:r>
          </w:p>
          <w:p w14:paraId="7742C57F">
            <w:pPr>
              <w:pStyle w:val="17"/>
              <w:numPr>
                <w:ilvl w:val="0"/>
                <w:numId w:val="19"/>
              </w:numPr>
              <w:rPr>
                <w:rFonts w:hint="default" w:ascii="Times New Roman" w:hAnsi="Times New Roman" w:cs="Times New Roman"/>
                <w:sz w:val="20"/>
                <w:szCs w:val="20"/>
              </w:rPr>
            </w:pPr>
            <w:r>
              <w:rPr>
                <w:rFonts w:hint="default" w:ascii="Times New Roman" w:hAnsi="Times New Roman" w:eastAsia="等线" w:cs="Times New Roman"/>
                <w:sz w:val="20"/>
                <w:szCs w:val="20"/>
                <w:lang w:eastAsia="zh-CN"/>
              </w:rPr>
              <w:t>Other OFDM based waveforms are not precluded.</w:t>
            </w:r>
          </w:p>
          <w:p w14:paraId="1F3F47A9">
            <w:pPr>
              <w:rPr>
                <w:rFonts w:hint="default" w:ascii="Times New Roman" w:hAnsi="Times New Roman" w:cs="Times New Roman"/>
                <w:sz w:val="20"/>
                <w:szCs w:val="20"/>
              </w:rPr>
            </w:pPr>
            <w:r>
              <w:rPr>
                <w:rFonts w:hint="default" w:ascii="Times New Roman" w:hAnsi="Times New Roman" w:eastAsia="Times New Roman" w:cs="Times New Roman"/>
                <w:sz w:val="20"/>
                <w:szCs w:val="20"/>
              </w:rPr>
              <w:t>CP-OFDM waveform as defined in 5G NR is supported as the basis for 6GR for downlink</w:t>
            </w:r>
          </w:p>
          <w:p w14:paraId="387996CA">
            <w:pPr>
              <w:numPr>
                <w:ilvl w:val="0"/>
                <w:numId w:val="20"/>
              </w:numPr>
              <w:spacing w:after="180"/>
              <w:contextualSpacing/>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Enhancements/modifications on CP-OFDM will be studied as potential additions</w:t>
            </w:r>
          </w:p>
          <w:p w14:paraId="700A5C8C">
            <w:pPr>
              <w:numPr>
                <w:ilvl w:val="0"/>
                <w:numId w:val="20"/>
              </w:numPr>
              <w:spacing w:after="180"/>
              <w:contextualSpacing/>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 xml:space="preserve">DFT-s-OFDM or any other OFDM-based waveform will be studied as a </w:t>
            </w:r>
            <w:r>
              <w:rPr>
                <w:rFonts w:hint="default" w:ascii="Times New Roman" w:hAnsi="Times New Roman" w:eastAsia="等线" w:cs="Times New Roman"/>
                <w:sz w:val="20"/>
                <w:szCs w:val="20"/>
                <w:lang w:eastAsia="zh-CN"/>
              </w:rPr>
              <w:t xml:space="preserve">potential </w:t>
            </w:r>
            <w:r>
              <w:rPr>
                <w:rFonts w:hint="default" w:ascii="Times New Roman" w:hAnsi="Times New Roman" w:eastAsia="Times New Roman" w:cs="Times New Roman"/>
                <w:sz w:val="20"/>
                <w:szCs w:val="20"/>
              </w:rPr>
              <w:t>additional waveform for downlink</w:t>
            </w:r>
          </w:p>
          <w:p w14:paraId="572CAF4C">
            <w:pPr>
              <w:spacing w:after="180"/>
              <w:contextualSpacing/>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Note: proponents to identify at least the target use cases, signals/channels to use the waveform, and how the proposal is intended (if applicable) to support multiplexing with CP-OFDM, including MRSS, and how multi-user multiplexing is supported</w:t>
            </w:r>
            <w:r>
              <w:rPr>
                <w:rFonts w:hint="default" w:ascii="Times New Roman" w:hAnsi="Times New Roman" w:eastAsia="等线" w:cs="Times New Roman"/>
                <w:sz w:val="20"/>
                <w:szCs w:val="20"/>
                <w:lang w:eastAsia="zh-CN"/>
              </w:rPr>
              <w:t>, etc</w:t>
            </w:r>
            <w:r>
              <w:rPr>
                <w:rFonts w:hint="default" w:ascii="Times New Roman" w:hAnsi="Times New Roman" w:eastAsia="Times New Roman" w:cs="Times New Roman"/>
                <w:sz w:val="20"/>
                <w:szCs w:val="20"/>
              </w:rPr>
              <w:t>.</w:t>
            </w:r>
          </w:p>
          <w:p w14:paraId="7254BFA8">
            <w:pPr>
              <w:spacing w:after="180"/>
              <w:contextualSpacing/>
              <w:rPr>
                <w:rFonts w:hint="default" w:ascii="Times New Roman" w:hAnsi="Times New Roman" w:eastAsia="Times New Roman" w:cs="Times New Roman"/>
                <w:sz w:val="20"/>
                <w:szCs w:val="20"/>
              </w:rPr>
            </w:pPr>
          </w:p>
          <w:p w14:paraId="40431879">
            <w:pPr>
              <w:spacing w:after="180" w:line="240" w:lineRule="exact"/>
              <w:rPr>
                <w:rFonts w:hint="default" w:ascii="Times New Roman" w:hAnsi="Times New Roman" w:eastAsia="等线"/>
                <w:b/>
                <w:bCs w:val="0"/>
                <w:iCs/>
                <w:sz w:val="20"/>
                <w:szCs w:val="20"/>
                <w:vertAlign w:val="baseline"/>
                <w:lang w:val="en-US" w:eastAsia="zh-CN"/>
              </w:rPr>
            </w:pPr>
            <w:r>
              <w:rPr>
                <w:rFonts w:hint="eastAsia" w:ascii="Times New Roman" w:hAnsi="Times New Roman" w:eastAsia="等线"/>
                <w:b/>
                <w:bCs w:val="0"/>
                <w:iCs/>
                <w:sz w:val="20"/>
                <w:szCs w:val="20"/>
                <w:vertAlign w:val="baseline"/>
                <w:lang w:val="en-US" w:eastAsia="zh-CN"/>
              </w:rPr>
              <w:t>Agreements in RAN1 #122bis meeting</w:t>
            </w:r>
          </w:p>
          <w:p w14:paraId="510E6CCD">
            <w:pPr>
              <w:autoSpaceDE w:val="0"/>
              <w:autoSpaceDN w:val="0"/>
              <w:adjustRightInd w:val="0"/>
              <w:snapToGrid w:val="0"/>
              <w:spacing w:after="120" w:line="259" w:lineRule="auto"/>
              <w:jc w:val="both"/>
              <w:rPr>
                <w:rFonts w:hint="default" w:ascii="Times New Roman" w:hAnsi="Times New Roman" w:cs="Times New Roman" w:eastAsiaTheme="minorEastAsia"/>
                <w:sz w:val="20"/>
                <w:szCs w:val="20"/>
                <w:highlight w:val="green"/>
                <w:lang w:val="en-US" w:eastAsia="zh-CN"/>
              </w:rPr>
            </w:pPr>
            <w:r>
              <w:rPr>
                <w:rFonts w:hint="default" w:ascii="Times New Roman" w:hAnsi="Times New Roman" w:cs="Times New Roman" w:eastAsiaTheme="minorEastAsia"/>
                <w:sz w:val="20"/>
                <w:szCs w:val="20"/>
                <w:highlight w:val="green"/>
                <w:lang w:val="en-US" w:eastAsia="zh-CN"/>
              </w:rPr>
              <w:t>Agreement</w:t>
            </w:r>
          </w:p>
          <w:p w14:paraId="3DB14956">
            <w:pPr>
              <w:pStyle w:val="17"/>
              <w:numPr>
                <w:ilvl w:val="0"/>
                <w:numId w:val="21"/>
              </w:numPr>
              <w:spacing w:after="180"/>
              <w:ind w:leftChars="0"/>
              <w:contextualSpacing/>
              <w:rPr>
                <w:rFonts w:hint="default" w:ascii="Times New Roman" w:hAnsi="Times New Roman" w:cs="Times New Roman"/>
                <w:b/>
                <w:bCs/>
                <w:sz w:val="20"/>
                <w:szCs w:val="20"/>
              </w:rPr>
            </w:pPr>
            <w:r>
              <w:rPr>
                <w:rFonts w:hint="default" w:ascii="Times New Roman" w:hAnsi="Times New Roman" w:cs="Times New Roman"/>
                <w:sz w:val="20"/>
                <w:szCs w:val="20"/>
              </w:rPr>
              <w:t>For uplink low-PAPR proposals</w:t>
            </w:r>
            <w:r>
              <w:rPr>
                <w:rFonts w:hint="default" w:ascii="Times New Roman" w:hAnsi="Times New Roman" w:cs="Times New Roman" w:eastAsiaTheme="minorEastAsia"/>
                <w:sz w:val="20"/>
                <w:szCs w:val="20"/>
                <w:lang w:eastAsia="zh-CN"/>
              </w:rPr>
              <w:t>,</w:t>
            </w:r>
            <w:r>
              <w:rPr>
                <w:rFonts w:hint="default" w:ascii="Times New Roman" w:hAnsi="Times New Roman" w:cs="Times New Roman"/>
                <w:sz w:val="20"/>
                <w:szCs w:val="20"/>
              </w:rPr>
              <w:t xml:space="preserve"> the </w:t>
            </w:r>
            <w:r>
              <w:rPr>
                <w:rFonts w:hint="default" w:ascii="Times New Roman" w:hAnsi="Times New Roman" w:cs="Times New Roman" w:eastAsiaTheme="minorEastAsia"/>
                <w:sz w:val="20"/>
                <w:szCs w:val="20"/>
                <w:lang w:eastAsia="zh-CN"/>
              </w:rPr>
              <w:t xml:space="preserve">link level </w:t>
            </w:r>
            <w:r>
              <w:rPr>
                <w:rFonts w:hint="default" w:ascii="Times New Roman" w:hAnsi="Times New Roman" w:cs="Times New Roman"/>
                <w:sz w:val="20"/>
                <w:szCs w:val="20"/>
              </w:rPr>
              <w:t>performance evaluation criterion is Net Gain</w:t>
            </w:r>
            <w:r>
              <w:rPr>
                <w:rFonts w:hint="default" w:ascii="Times New Roman" w:hAnsi="Times New Roman" w:cs="Times New Roman" w:eastAsiaTheme="minorEastAsia"/>
                <w:sz w:val="20"/>
                <w:szCs w:val="20"/>
                <w:lang w:eastAsia="zh-CN"/>
              </w:rPr>
              <w:t xml:space="preserve"> assuming same spectrum efficiency as the reference </w:t>
            </w:r>
          </w:p>
          <w:p w14:paraId="55574407">
            <w:pPr>
              <w:pStyle w:val="17"/>
              <w:numPr>
                <w:ilvl w:val="1"/>
                <w:numId w:val="21"/>
              </w:numPr>
              <w:spacing w:after="180"/>
              <w:ind w:leftChars="0"/>
              <w:contextualSpacing/>
              <w:rPr>
                <w:rFonts w:hint="default" w:ascii="Times New Roman" w:hAnsi="Times New Roman" w:cs="Times New Roman"/>
                <w:b/>
                <w:bCs/>
                <w:sz w:val="20"/>
                <w:szCs w:val="20"/>
              </w:rPr>
            </w:pPr>
            <w:r>
              <w:rPr>
                <w:rFonts w:hint="default" w:ascii="Times New Roman" w:hAnsi="Times New Roman" w:cs="Times New Roman"/>
                <w:sz w:val="20"/>
                <w:szCs w:val="20"/>
              </w:rPr>
              <w:t>Net Gain [dB] = Tx power gain</w:t>
            </w:r>
            <w:r>
              <w:rPr>
                <w:rFonts w:hint="default" w:ascii="Times New Roman" w:hAnsi="Times New Roman" w:cs="Times New Roman" w:eastAsiaTheme="minorEastAsia"/>
                <w:sz w:val="20"/>
                <w:szCs w:val="20"/>
                <w:lang w:eastAsia="zh-CN"/>
              </w:rPr>
              <w:t xml:space="preserve"> relative to the reference</w:t>
            </w:r>
            <w:r>
              <w:rPr>
                <w:rFonts w:hint="default" w:ascii="Times New Roman" w:hAnsi="Times New Roman" w:cs="Times New Roman"/>
                <w:sz w:val="20"/>
                <w:szCs w:val="20"/>
              </w:rPr>
              <w:t xml:space="preserve"> – </w:t>
            </w:r>
            <w:r>
              <w:rPr>
                <w:rFonts w:hint="default" w:ascii="Times New Roman" w:hAnsi="Times New Roman" w:cs="Times New Roman" w:eastAsiaTheme="minorEastAsia"/>
                <w:sz w:val="20"/>
                <w:szCs w:val="20"/>
                <w:lang w:eastAsia="zh-CN"/>
              </w:rPr>
              <w:t>SNR degradation</w:t>
            </w:r>
            <w:r>
              <w:rPr>
                <w:rFonts w:hint="default" w:ascii="Times New Roman" w:hAnsi="Times New Roman" w:cs="Times New Roman"/>
                <w:sz w:val="20"/>
                <w:szCs w:val="20"/>
              </w:rPr>
              <w:t xml:space="preserve"> relative to the reference @10% BLER</w:t>
            </w:r>
          </w:p>
          <w:p w14:paraId="5E82A3DE">
            <w:pPr>
              <w:pStyle w:val="17"/>
              <w:numPr>
                <w:ilvl w:val="2"/>
                <w:numId w:val="21"/>
              </w:numPr>
              <w:spacing w:after="180"/>
              <w:ind w:leftChars="0"/>
              <w:contextualSpacing/>
              <w:rPr>
                <w:rFonts w:hint="default" w:ascii="Times New Roman" w:hAnsi="Times New Roman" w:cs="Times New Roman"/>
                <w:b/>
                <w:bCs/>
                <w:sz w:val="20"/>
                <w:szCs w:val="20"/>
              </w:rPr>
            </w:pPr>
            <w:r>
              <w:rPr>
                <w:rFonts w:hint="default" w:ascii="Times New Roman" w:hAnsi="Times New Roman" w:cs="Times New Roman"/>
                <w:sz w:val="20"/>
                <w:szCs w:val="20"/>
              </w:rPr>
              <w:t>A realistic PA model should be used</w:t>
            </w:r>
          </w:p>
          <w:p w14:paraId="54D56931">
            <w:pPr>
              <w:pStyle w:val="17"/>
              <w:numPr>
                <w:ilvl w:val="2"/>
                <w:numId w:val="21"/>
              </w:numPr>
              <w:spacing w:after="180"/>
              <w:ind w:leftChars="0"/>
              <w:contextualSpacing/>
              <w:rPr>
                <w:rFonts w:hint="default" w:ascii="Times New Roman" w:hAnsi="Times New Roman" w:cs="Times New Roman"/>
                <w:b/>
                <w:bCs/>
                <w:sz w:val="20"/>
                <w:szCs w:val="20"/>
              </w:rPr>
            </w:pPr>
            <w:r>
              <w:rPr>
                <w:rFonts w:hint="default" w:ascii="Times New Roman" w:hAnsi="Times New Roman" w:cs="Times New Roman"/>
                <w:sz w:val="20"/>
                <w:szCs w:val="20"/>
              </w:rPr>
              <w:t xml:space="preserve">When calculating the Tx power gain, the RAN4 metrics on the Tx power should be taken into account. </w:t>
            </w:r>
          </w:p>
          <w:p w14:paraId="1A316C12">
            <w:pPr>
              <w:pStyle w:val="17"/>
              <w:numPr>
                <w:ilvl w:val="2"/>
                <w:numId w:val="21"/>
              </w:numPr>
              <w:spacing w:after="180"/>
              <w:ind w:leftChars="0"/>
              <w:contextualSpacing/>
              <w:rPr>
                <w:rFonts w:hint="default" w:ascii="Times New Roman" w:hAnsi="Times New Roman" w:cs="Times New Roman"/>
                <w:b/>
                <w:bCs/>
                <w:sz w:val="20"/>
                <w:szCs w:val="20"/>
              </w:rPr>
            </w:pPr>
            <w:r>
              <w:rPr>
                <w:rFonts w:hint="default" w:ascii="Times New Roman" w:hAnsi="Times New Roman" w:cs="Times New Roman"/>
                <w:sz w:val="20"/>
                <w:szCs w:val="20"/>
              </w:rPr>
              <w:t>For SNR degradation, fading channel and non-ideal channel estimation, including DMRS configuration, and equalization is encouraged.</w:t>
            </w:r>
          </w:p>
          <w:p w14:paraId="5E8EF45E">
            <w:pPr>
              <w:pStyle w:val="17"/>
              <w:numPr>
                <w:ilvl w:val="2"/>
                <w:numId w:val="21"/>
              </w:numPr>
              <w:spacing w:after="180"/>
              <w:ind w:leftChars="0"/>
              <w:contextualSpacing/>
              <w:rPr>
                <w:rFonts w:hint="default" w:ascii="Times New Roman" w:hAnsi="Times New Roman" w:cs="Times New Roman"/>
                <w:b/>
                <w:bCs/>
                <w:sz w:val="20"/>
                <w:szCs w:val="20"/>
              </w:rPr>
            </w:pPr>
            <w:r>
              <w:rPr>
                <w:rFonts w:hint="default" w:ascii="Times New Roman" w:hAnsi="Times New Roman" w:cs="Times New Roman" w:eastAsiaTheme="minorEastAsia"/>
                <w:sz w:val="20"/>
                <w:szCs w:val="20"/>
                <w:lang w:eastAsia="zh-CN"/>
              </w:rPr>
              <w:t>FFS: Other e</w:t>
            </w:r>
            <w:r>
              <w:rPr>
                <w:rFonts w:hint="default" w:ascii="Times New Roman" w:hAnsi="Times New Roman" w:cs="Times New Roman"/>
                <w:sz w:val="20"/>
                <w:szCs w:val="20"/>
              </w:rPr>
              <w:t>valuation metrics</w:t>
            </w:r>
          </w:p>
          <w:p w14:paraId="0531B32A">
            <w:pPr>
              <w:pStyle w:val="17"/>
              <w:numPr>
                <w:ilvl w:val="2"/>
                <w:numId w:val="21"/>
              </w:numPr>
              <w:spacing w:after="180"/>
              <w:ind w:leftChars="0"/>
              <w:contextualSpacing/>
              <w:rPr>
                <w:rFonts w:hint="default" w:ascii="Times New Roman" w:hAnsi="Times New Roman" w:cs="Times New Roman"/>
                <w:b/>
                <w:bCs/>
                <w:sz w:val="20"/>
                <w:szCs w:val="20"/>
              </w:rPr>
            </w:pPr>
            <w:r>
              <w:rPr>
                <w:rFonts w:hint="default" w:ascii="Times New Roman" w:hAnsi="Times New Roman" w:cs="Times New Roman" w:eastAsiaTheme="minorEastAsia"/>
                <w:sz w:val="20"/>
                <w:szCs w:val="20"/>
                <w:lang w:eastAsia="zh-CN"/>
              </w:rPr>
              <w:t>Note: Companies to report how to calculate the Tx power gain,</w:t>
            </w:r>
            <w:r>
              <w:rPr>
                <w:rFonts w:hint="default" w:ascii="Times New Roman" w:hAnsi="Times New Roman" w:cs="Times New Roman"/>
                <w:sz w:val="20"/>
                <w:szCs w:val="20"/>
              </w:rPr>
              <w:t xml:space="preserve"> modulation and coding</w:t>
            </w:r>
          </w:p>
          <w:p w14:paraId="4645AA2C">
            <w:pPr>
              <w:autoSpaceDE w:val="0"/>
              <w:autoSpaceDN w:val="0"/>
              <w:adjustRightInd w:val="0"/>
              <w:snapToGrid w:val="0"/>
              <w:spacing w:after="120" w:line="259" w:lineRule="auto"/>
              <w:jc w:val="both"/>
              <w:rPr>
                <w:rFonts w:hint="default" w:ascii="Times New Roman" w:hAnsi="Times New Roman" w:cs="Times New Roman" w:eastAsiaTheme="minorEastAsia"/>
                <w:sz w:val="20"/>
                <w:szCs w:val="20"/>
                <w:highlight w:val="green"/>
                <w:lang w:eastAsia="zh-CN"/>
              </w:rPr>
            </w:pPr>
            <w:r>
              <w:rPr>
                <w:rFonts w:hint="default" w:ascii="Times New Roman" w:hAnsi="Times New Roman" w:cs="Times New Roman" w:eastAsiaTheme="minorEastAsia"/>
                <w:sz w:val="20"/>
                <w:szCs w:val="20"/>
                <w:highlight w:val="green"/>
                <w:lang w:eastAsia="zh-CN"/>
              </w:rPr>
              <w:t>Agreement</w:t>
            </w:r>
          </w:p>
          <w:p w14:paraId="6CFF72D4">
            <w:pPr>
              <w:pStyle w:val="17"/>
              <w:numPr>
                <w:ilvl w:val="0"/>
                <w:numId w:val="22"/>
              </w:numPr>
              <w:spacing w:after="180"/>
              <w:ind w:left="584" w:leftChars="0"/>
              <w:contextualSpacing/>
              <w:rPr>
                <w:rFonts w:hint="default" w:ascii="Times New Roman" w:hAnsi="Times New Roman" w:eastAsia="Times New Roman" w:cs="Times New Roman"/>
                <w:sz w:val="20"/>
                <w:szCs w:val="20"/>
                <w:lang w:val="en-US" w:eastAsia="zh-CN"/>
              </w:rPr>
            </w:pPr>
            <w:r>
              <w:rPr>
                <w:rFonts w:hint="default" w:ascii="Times New Roman" w:hAnsi="Times New Roman" w:cs="Times New Roman" w:eastAsiaTheme="minorEastAsia"/>
                <w:sz w:val="20"/>
                <w:szCs w:val="20"/>
                <w:lang w:val="en-US" w:eastAsia="zh-CN"/>
              </w:rPr>
              <w:t xml:space="preserve">Study the evaluation method for evaluating </w:t>
            </w:r>
            <w:r>
              <w:rPr>
                <w:rFonts w:hint="default" w:ascii="Times New Roman" w:hAnsi="Times New Roman" w:cs="Times New Roman"/>
                <w:sz w:val="20"/>
                <w:szCs w:val="20"/>
                <w:lang w:val="en-US"/>
              </w:rPr>
              <w:t>DFT-s-OFDM</w:t>
            </w:r>
            <w:r>
              <w:rPr>
                <w:rFonts w:hint="default" w:ascii="Times New Roman" w:hAnsi="Times New Roman" w:cs="Times New Roman" w:eastAsiaTheme="minorEastAsia"/>
                <w:sz w:val="20"/>
                <w:szCs w:val="20"/>
                <w:lang w:val="en-US" w:eastAsia="zh-CN"/>
              </w:rPr>
              <w:t xml:space="preserve"> for UL</w:t>
            </w:r>
            <w:r>
              <w:rPr>
                <w:rFonts w:hint="default" w:ascii="Times New Roman" w:hAnsi="Times New Roman" w:cs="Times New Roman"/>
                <w:sz w:val="20"/>
                <w:szCs w:val="20"/>
                <w:lang w:val="en-US"/>
              </w:rPr>
              <w:t xml:space="preserve"> with </w:t>
            </w:r>
            <w:r>
              <w:rPr>
                <w:rFonts w:hint="default" w:ascii="Times New Roman" w:hAnsi="Times New Roman" w:cs="Times New Roman" w:eastAsiaTheme="minorEastAsia"/>
                <w:sz w:val="20"/>
                <w:szCs w:val="20"/>
                <w:lang w:val="en-US" w:eastAsia="zh-CN"/>
              </w:rPr>
              <w:t>number of layers</w:t>
            </w:r>
            <w:r>
              <w:rPr>
                <w:rFonts w:hint="default" w:ascii="Times New Roman" w:hAnsi="Times New Roman" w:cs="Times New Roman"/>
                <w:sz w:val="20"/>
                <w:szCs w:val="20"/>
                <w:lang w:val="en-US"/>
              </w:rPr>
              <w:t xml:space="preserve"> &gt; 1</w:t>
            </w:r>
            <w:r>
              <w:rPr>
                <w:rFonts w:hint="default" w:ascii="Times New Roman" w:hAnsi="Times New Roman" w:cs="Times New Roman" w:eastAsiaTheme="minorEastAsia"/>
                <w:sz w:val="20"/>
                <w:szCs w:val="20"/>
                <w:lang w:val="en-US" w:eastAsia="zh-CN"/>
              </w:rPr>
              <w:t>.</w:t>
            </w:r>
          </w:p>
        </w:tc>
      </w:tr>
    </w:tbl>
    <w:p w14:paraId="7AAA6AB6">
      <w:pPr>
        <w:spacing w:after="180" w:line="240" w:lineRule="exact"/>
        <w:rPr>
          <w:rFonts w:hint="eastAsia" w:ascii="Times New Roman" w:hAnsi="Times New Roman" w:eastAsia="等线"/>
          <w:bCs/>
          <w:iCs/>
          <w:sz w:val="20"/>
          <w:szCs w:val="20"/>
          <w:lang w:val="en-US" w:eastAsia="zh-CN"/>
        </w:rPr>
      </w:pPr>
    </w:p>
    <w:p w14:paraId="735AA3F1">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last RAN1 meeting, it was agreed that the </w:t>
      </w:r>
      <w:r>
        <w:rPr>
          <w:rFonts w:hint="default" w:ascii="Times New Roman" w:hAnsi="Times New Roman" w:cs="Times New Roman"/>
          <w:sz w:val="20"/>
          <w:szCs w:val="20"/>
        </w:rPr>
        <w:t xml:space="preserve">waveforms defined in 5G NR </w:t>
      </w:r>
      <w:r>
        <w:rPr>
          <w:rFonts w:hint="default" w:ascii="Times New Roman" w:hAnsi="Times New Roman" w:eastAsia="等线" w:cs="Times New Roman"/>
          <w:sz w:val="20"/>
          <w:szCs w:val="20"/>
          <w:lang w:eastAsia="zh-CN"/>
        </w:rPr>
        <w:t xml:space="preserve">are supported as the basis </w:t>
      </w:r>
      <w:r>
        <w:rPr>
          <w:rFonts w:hint="default" w:ascii="Times New Roman" w:hAnsi="Times New Roman" w:cs="Times New Roman"/>
          <w:sz w:val="20"/>
          <w:szCs w:val="20"/>
        </w:rPr>
        <w:t>for 6GR</w:t>
      </w:r>
      <w:r>
        <w:rPr>
          <w:rFonts w:hint="eastAsia" w:ascii="Times New Roman" w:hAnsi="Times New Roman" w:cs="Times New Roman"/>
          <w:sz w:val="20"/>
          <w:szCs w:val="20"/>
          <w:lang w:val="en-US" w:eastAsia="zh-CN"/>
        </w:rPr>
        <w:t xml:space="preserve">. FFS other </w:t>
      </w:r>
      <w:r>
        <w:rPr>
          <w:rFonts w:hint="default" w:ascii="Times New Roman" w:hAnsi="Times New Roman" w:cs="Times New Roman"/>
          <w:sz w:val="20"/>
          <w:szCs w:val="20"/>
        </w:rPr>
        <w:t>waveforms</w:t>
      </w:r>
      <w:r>
        <w:rPr>
          <w:rFonts w:hint="eastAsia" w:ascii="Times New Roman" w:hAnsi="Times New Roman" w:cs="Times New Roman"/>
          <w:sz w:val="20"/>
          <w:szCs w:val="20"/>
          <w:lang w:val="en-US" w:eastAsia="zh-CN"/>
        </w:rPr>
        <w:t>.</w:t>
      </w:r>
      <w:r>
        <w:rPr>
          <w:rFonts w:hint="eastAsia" w:ascii="Times New Roman" w:hAnsi="Times New Roman" w:eastAsia="等线"/>
          <w:bCs/>
          <w:iCs/>
          <w:sz w:val="20"/>
          <w:szCs w:val="20"/>
          <w:lang w:val="en-US" w:eastAsia="zh-CN"/>
        </w:rPr>
        <w:t xml:space="preserve"> To enable simultaneous operation, eliminate guard band, simplify receiver complexity for MRSS, it is expected to consider the impact on MRSS for the discussion on new waveform.</w:t>
      </w:r>
    </w:p>
    <w:p w14:paraId="57B2A3C0">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6: it is proposed to consider the MRSS impact when discuss the waveform for 6GR</w:t>
      </w:r>
    </w:p>
    <w:p w14:paraId="73986BD9">
      <w:pPr>
        <w:numPr>
          <w:ilvl w:val="0"/>
          <w:numId w:val="23"/>
        </w:numPr>
        <w:spacing w:after="180" w:line="240" w:lineRule="exact"/>
        <w:ind w:left="420" w:leftChars="0" w:hanging="420" w:firstLineChars="0"/>
        <w:rPr>
          <w:rFonts w:hint="default" w:ascii="Times New Roman" w:hAnsi="Times New Roman" w:cs="Times New Roman"/>
          <w:b/>
          <w:bCs w:val="0"/>
          <w:i/>
          <w:iCs w:val="0"/>
          <w:sz w:val="20"/>
          <w:szCs w:val="20"/>
        </w:rPr>
      </w:pPr>
      <w:r>
        <w:rPr>
          <w:rFonts w:hint="eastAsia" w:ascii="Times New Roman" w:hAnsi="Times New Roman" w:eastAsia="等线"/>
          <w:b/>
          <w:bCs w:val="0"/>
          <w:i/>
          <w:iCs w:val="0"/>
          <w:sz w:val="20"/>
          <w:szCs w:val="20"/>
          <w:lang w:val="en-US" w:eastAsia="zh-CN"/>
        </w:rPr>
        <w:t xml:space="preserve">RAN1 agreed that the </w:t>
      </w:r>
      <w:r>
        <w:rPr>
          <w:rFonts w:hint="default" w:ascii="Times New Roman" w:hAnsi="Times New Roman" w:cs="Times New Roman"/>
          <w:b/>
          <w:bCs w:val="0"/>
          <w:i/>
          <w:iCs w:val="0"/>
          <w:sz w:val="20"/>
          <w:szCs w:val="20"/>
        </w:rPr>
        <w:t xml:space="preserve">waveforms defined in 5G NR </w:t>
      </w:r>
      <w:r>
        <w:rPr>
          <w:rFonts w:hint="default" w:ascii="Times New Roman" w:hAnsi="Times New Roman" w:eastAsia="等线" w:cs="Times New Roman"/>
          <w:b/>
          <w:bCs w:val="0"/>
          <w:i/>
          <w:iCs w:val="0"/>
          <w:sz w:val="20"/>
          <w:szCs w:val="20"/>
          <w:lang w:eastAsia="zh-CN"/>
        </w:rPr>
        <w:t xml:space="preserve">are supported as the basis </w:t>
      </w:r>
      <w:r>
        <w:rPr>
          <w:rFonts w:hint="default" w:ascii="Times New Roman" w:hAnsi="Times New Roman" w:cs="Times New Roman"/>
          <w:b/>
          <w:bCs w:val="0"/>
          <w:i/>
          <w:iCs w:val="0"/>
          <w:sz w:val="20"/>
          <w:szCs w:val="20"/>
        </w:rPr>
        <w:t>for 6GR</w:t>
      </w:r>
    </w:p>
    <w:p w14:paraId="29D61727">
      <w:pPr>
        <w:numPr>
          <w:ilvl w:val="0"/>
          <w:numId w:val="23"/>
        </w:numPr>
        <w:spacing w:after="180" w:line="240" w:lineRule="exact"/>
        <w:ind w:left="420" w:leftChars="0" w:hanging="420" w:firstLineChars="0"/>
        <w:rPr>
          <w:rFonts w:hint="default" w:ascii="Times New Roman" w:hAnsi="Times New Roman" w:eastAsia="宋体" w:cs="Times New Roman"/>
          <w:b/>
          <w:bCs w:val="0"/>
          <w:i/>
          <w:iCs w:val="0"/>
          <w:sz w:val="20"/>
          <w:szCs w:val="20"/>
          <w:lang w:val="en-US" w:eastAsia="zh-CN"/>
        </w:rPr>
      </w:pPr>
      <w:r>
        <w:rPr>
          <w:rFonts w:hint="eastAsia" w:ascii="Times New Roman" w:hAnsi="Times New Roman" w:cs="Times New Roman"/>
          <w:b/>
          <w:bCs w:val="0"/>
          <w:i/>
          <w:iCs w:val="0"/>
          <w:sz w:val="20"/>
          <w:szCs w:val="20"/>
          <w:lang w:val="en-US" w:eastAsia="zh-CN"/>
        </w:rPr>
        <w:t>For other waveform for 6GR, impact on MRSS need to be considered</w:t>
      </w:r>
    </w:p>
    <w:p w14:paraId="6332686B">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RAN1 is discussing smallest maximum supported RF and BB UE BW without spectrum aggregation for at least one low-tier device type supported by 6GR framework from physical layer perspective. Normally, the minimum CBW is defined in RAN4 taking operators</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 spectrum allocation, SSB minimum bandwidth, etc, into account. For NR, the CBW multiples of 5MHz is the basic. However, irregular channel bandwidth is considered in later release. There are some candidate solutions, e.g. overlapping channels from network perspective, are considered in the study phase. In the work phase, RAN4 adopt the solution to define native irregular channel BWs, in detail, 7MHz is defined in Release 19 and 6MHz is defined in Release 20. For 6GR, One issue is how to support irregular CBW in 6GR. Defining native irregular channel BWs, e.g. 6MHz, 7MHz, may not cover all the possible irregular channel bandwidth from operators, and will introduce RAN4 workload. If the solution like overlapping channels from network perspective are considered, it may have impact on MRSS. It is proposed to discuss whether MRSS is considered for irregular channel bandwidth pending on the solution to support irregular channel bandwidth.</w:t>
      </w:r>
    </w:p>
    <w:p w14:paraId="3CAF5F24">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7: it is proposed to consider the impact on MRSS when discussing irregular channel bandwidth. The solution to support irregular channel bandwidth may have impact on MRSS support.</w:t>
      </w:r>
    </w:p>
    <w:p w14:paraId="10095C28">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Inter-RAT mobility between NR and 6G, including handover and cell re-selection, is an important and simple way to ensure UE</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s service continuity when it moves between a 6G cell and a 5G cell. However, the corresponding interruption during inter-RAT handover cannot be avoided. For 6G, we may aim for a solution to minimize the interruption time. Normally, handover interruption comprises the time required to search the target cell, time for fine time tracking, time for UE UE processing. One way to reduce interruption delay is to discuss whether the components of interruption and the time for each components can be reduced. Also, for MRSS scenario, inter-RAT mobility can be performed on the same frequency carriers, some optimization can be considered.  </w:t>
      </w:r>
    </w:p>
    <w:p w14:paraId="5EBF21DE">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8: it is proposed to minimize handover interruption time for inter-RAT handover between NR and 6GR. </w:t>
      </w:r>
    </w:p>
    <w:p w14:paraId="1C85D797">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Another consideration is to minimize the data loss when performing inter-RAT measurement. In Rel-18, inter-RAT measurements without gaps, including inter-RAT NR measurement and inter-RAT LTE measurement, are introduced in RAN4 and helpful in reducing the impact on throughput due to measurement gap. It is proposed to support inter-RAT measurements without gaps from 6G day-1.</w:t>
      </w:r>
    </w:p>
    <w:p w14:paraId="2DD7A535">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9: it is proposed to support inter-RAT measurements without gaps, including inter-RAT NR measurement without gap and inter-RAT 6GR measurement without gap, from 6G day-1.</w:t>
      </w:r>
    </w:p>
    <w:p w14:paraId="52671CCF">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MRSS between 4G and 5G, CRS-IM receiver was introduced to handle the CRS interference from LTE cells. For MRSS between 5G and 6G, one difference from MRSS between 4G and 5G is that there is no always on signals, e.g. SSB, CSI-RS are periodic. We are not sure how severe the interference is for this scenario, and whether to introduce advanced receiver to mitigate the interference. It is proposed to have further study on this.</w:t>
      </w:r>
    </w:p>
    <w:p w14:paraId="1704D182">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10: it is proposed to study the interference handling between 5G and 6G.</w:t>
      </w:r>
    </w:p>
    <w:p w14:paraId="69A29A2A">
      <w:pPr>
        <w:spacing w:after="180" w:line="240" w:lineRule="exact"/>
        <w:rPr>
          <w:rFonts w:hint="eastAsia" w:ascii="Times New Roman" w:hAnsi="Times New Roman" w:eastAsia="等线"/>
          <w:bCs/>
          <w:iCs/>
          <w:sz w:val="20"/>
          <w:szCs w:val="20"/>
          <w:lang w:val="en-US" w:eastAsia="zh-CN"/>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2"/>
          <w:highlight w:val="none"/>
          <w:lang w:val="en-US" w:eastAsia="zh-CN"/>
        </w:rPr>
        <w:t>spectrum sharing</w:t>
      </w:r>
      <w:r>
        <w:rPr>
          <w:rFonts w:hint="eastAsia" w:ascii="Times New Roman" w:hAnsi="Times New Roman"/>
          <w:sz w:val="20"/>
          <w:szCs w:val="20"/>
        </w:rPr>
        <w:t>. The proposals are:</w:t>
      </w:r>
    </w:p>
    <w:p w14:paraId="47030B7B">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If there is no demand from operator on 6G-5G MRSS in FR2-1, no need to consider 6G-5G MRSS in FR2-1.</w:t>
      </w:r>
    </w:p>
    <w:p w14:paraId="6B586785">
      <w:pPr>
        <w:spacing w:after="180" w:line="240" w:lineRule="exact"/>
        <w:rPr>
          <w:rFonts w:hint="eastAsia" w:ascii="Times New Roman" w:hAnsi="Times New Roman" w:eastAsia="等线"/>
          <w:bCs/>
          <w:iCs/>
          <w:sz w:val="20"/>
          <w:szCs w:val="20"/>
          <w:highlight w:val="none"/>
          <w:lang w:val="en-US" w:eastAsia="zh-CN"/>
        </w:rPr>
      </w:pPr>
      <w:r>
        <w:rPr>
          <w:rFonts w:hint="eastAsia" w:ascii="Times New Roman" w:hAnsi="Times New Roman" w:eastAsia="等线"/>
          <w:b/>
          <w:bCs w:val="0"/>
          <w:iCs/>
          <w:sz w:val="20"/>
          <w:szCs w:val="20"/>
          <w:highlight w:val="none"/>
          <w:lang w:val="en-US" w:eastAsia="zh-CN"/>
        </w:rPr>
        <w:t>Proposal 2: it is proposed to postpone the discussion on spectrum sharing with NTN. It is proposed to firstly focus on the spectrum sharing between NR TN and 6G TN.</w:t>
      </w:r>
      <w:r>
        <w:rPr>
          <w:rFonts w:hint="eastAsia" w:ascii="Times New Roman" w:hAnsi="Times New Roman" w:eastAsia="等线"/>
          <w:bCs/>
          <w:iCs/>
          <w:sz w:val="20"/>
          <w:szCs w:val="20"/>
          <w:highlight w:val="none"/>
          <w:lang w:val="en-US" w:eastAsia="zh-CN"/>
        </w:rPr>
        <w:tab/>
      </w:r>
    </w:p>
    <w:p w14:paraId="6E454F6B">
      <w:pPr>
        <w:spacing w:after="180" w:line="240" w:lineRule="exact"/>
        <w:rPr>
          <w:rFonts w:hint="eastAsia"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3: the alignment between 5G and 6G numerology will facilitate MRSS. It is proposed to follow RAN1 agreements to take 15KHz SCS for FDD and 30KHz SCS for TDD for sub 6GHz.</w:t>
      </w:r>
    </w:p>
    <w:p w14:paraId="185930ED">
      <w:pPr>
        <w:spacing w:after="180" w:line="240" w:lineRule="exact"/>
        <w:rPr>
          <w:rFonts w:hint="default"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4: For MRSS between NR and 6GR, it is proposed to discuss whether 100KHz channel raster for low band are still needed.</w:t>
      </w:r>
    </w:p>
    <w:p w14:paraId="7F6ADC1B">
      <w:pPr>
        <w:spacing w:after="180" w:line="240" w:lineRule="exact"/>
        <w:rPr>
          <w:rFonts w:hint="eastAsia" w:ascii="Times New Roman" w:hAnsi="Times New Roman" w:eastAsia="等线"/>
          <w:bCs/>
          <w:iCs/>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 xml:space="preserve">Proposal 5: </w:t>
      </w:r>
      <w:r>
        <w:rPr>
          <w:rFonts w:hint="eastAsia" w:ascii="Times New Roman" w:hAnsi="Times New Roman" w:cs="Times New Roman"/>
          <w:b/>
          <w:bCs w:val="0"/>
          <w:i/>
          <w:iCs w:val="0"/>
          <w:sz w:val="20"/>
          <w:szCs w:val="20"/>
          <w:highlight w:val="none"/>
          <w:lang w:val="en-US" w:eastAsia="zh-CN"/>
        </w:rPr>
        <w:t xml:space="preserve">No need to consider </w:t>
      </w:r>
      <w:r>
        <w:rPr>
          <w:rFonts w:hint="eastAsia" w:ascii="Times New Roman" w:hAnsi="Times New Roman" w:eastAsia="等线"/>
          <w:b/>
          <w:bCs w:val="0"/>
          <w:i/>
          <w:iCs w:val="0"/>
          <w:sz w:val="20"/>
          <w:szCs w:val="20"/>
          <w:highlight w:val="none"/>
          <w:lang w:val="en-US" w:eastAsia="zh-CN"/>
        </w:rPr>
        <w:t>7.5KHz uplink shift for MRSS between NR and 6GR.</w:t>
      </w:r>
    </w:p>
    <w:p w14:paraId="5B08CFC2">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6: it is proposed to consider the MRSS impact when discuss the waveform for 6GR</w:t>
      </w:r>
    </w:p>
    <w:p w14:paraId="6AC47828">
      <w:pPr>
        <w:numPr>
          <w:ilvl w:val="0"/>
          <w:numId w:val="23"/>
        </w:numPr>
        <w:spacing w:after="180" w:line="240" w:lineRule="exact"/>
        <w:ind w:left="420" w:leftChars="0" w:hanging="420" w:firstLineChars="0"/>
        <w:rPr>
          <w:rFonts w:hint="default" w:ascii="Times New Roman" w:hAnsi="Times New Roman" w:cs="Times New Roman"/>
          <w:b/>
          <w:bCs w:val="0"/>
          <w:i/>
          <w:iCs w:val="0"/>
          <w:sz w:val="20"/>
          <w:szCs w:val="20"/>
        </w:rPr>
      </w:pPr>
      <w:r>
        <w:rPr>
          <w:rFonts w:hint="eastAsia" w:ascii="Times New Roman" w:hAnsi="Times New Roman" w:eastAsia="等线"/>
          <w:b/>
          <w:bCs w:val="0"/>
          <w:i/>
          <w:iCs w:val="0"/>
          <w:sz w:val="20"/>
          <w:szCs w:val="20"/>
          <w:lang w:val="en-US" w:eastAsia="zh-CN"/>
        </w:rPr>
        <w:t xml:space="preserve">RAN1 agreed that the </w:t>
      </w:r>
      <w:r>
        <w:rPr>
          <w:rFonts w:hint="default" w:ascii="Times New Roman" w:hAnsi="Times New Roman" w:cs="Times New Roman"/>
          <w:b/>
          <w:bCs w:val="0"/>
          <w:i/>
          <w:iCs w:val="0"/>
          <w:sz w:val="20"/>
          <w:szCs w:val="20"/>
        </w:rPr>
        <w:t xml:space="preserve">waveforms defined in 5G NR </w:t>
      </w:r>
      <w:r>
        <w:rPr>
          <w:rFonts w:hint="default" w:ascii="Times New Roman" w:hAnsi="Times New Roman" w:eastAsia="等线" w:cs="Times New Roman"/>
          <w:b/>
          <w:bCs w:val="0"/>
          <w:i/>
          <w:iCs w:val="0"/>
          <w:sz w:val="20"/>
          <w:szCs w:val="20"/>
          <w:lang w:eastAsia="zh-CN"/>
        </w:rPr>
        <w:t xml:space="preserve">are supported as the basis </w:t>
      </w:r>
      <w:r>
        <w:rPr>
          <w:rFonts w:hint="default" w:ascii="Times New Roman" w:hAnsi="Times New Roman" w:cs="Times New Roman"/>
          <w:b/>
          <w:bCs w:val="0"/>
          <w:i/>
          <w:iCs w:val="0"/>
          <w:sz w:val="20"/>
          <w:szCs w:val="20"/>
        </w:rPr>
        <w:t>for 6GR</w:t>
      </w:r>
    </w:p>
    <w:p w14:paraId="52A76583">
      <w:pPr>
        <w:numPr>
          <w:ilvl w:val="0"/>
          <w:numId w:val="23"/>
        </w:numPr>
        <w:spacing w:after="180" w:line="240" w:lineRule="exact"/>
        <w:ind w:left="420" w:leftChars="0" w:hanging="420" w:firstLineChars="0"/>
        <w:rPr>
          <w:rFonts w:hint="default" w:ascii="Times New Roman" w:hAnsi="Times New Roman" w:eastAsia="宋体" w:cs="Times New Roman"/>
          <w:b/>
          <w:bCs w:val="0"/>
          <w:i/>
          <w:iCs w:val="0"/>
          <w:sz w:val="20"/>
          <w:szCs w:val="20"/>
          <w:lang w:val="en-US" w:eastAsia="zh-CN"/>
        </w:rPr>
      </w:pPr>
      <w:r>
        <w:rPr>
          <w:rFonts w:hint="eastAsia" w:ascii="Times New Roman" w:hAnsi="Times New Roman" w:cs="Times New Roman"/>
          <w:b/>
          <w:bCs w:val="0"/>
          <w:i/>
          <w:iCs w:val="0"/>
          <w:sz w:val="20"/>
          <w:szCs w:val="20"/>
          <w:lang w:val="en-US" w:eastAsia="zh-CN"/>
        </w:rPr>
        <w:t>For other waveform for 6GR, impact on MRSS need to be considered</w:t>
      </w:r>
    </w:p>
    <w:p w14:paraId="0F44DEB1">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7: it is proposed to consider the impact on MRSS when discussing irregular channel bandwidth. The solution to support irregular channel bandwidth may have impact on MRSS support.</w:t>
      </w:r>
    </w:p>
    <w:p w14:paraId="6568CA8E">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8: it is proposed to minimize handover interruption time for inter-RAT handover between NR and 6GR. </w:t>
      </w:r>
    </w:p>
    <w:p w14:paraId="62835DF8">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9: it is proposed to support inter-RAT measurements without gaps, including inter-RAT NR measurement without gap and inter-RAT 6GR measurement without gap, from 6G day-1.</w:t>
      </w:r>
    </w:p>
    <w:p w14:paraId="264CC650">
      <w:pPr>
        <w:spacing w:after="180" w:line="240" w:lineRule="exact"/>
        <w:rPr>
          <w:rFonts w:hint="eastAsia" w:ascii="Times New Roman" w:hAnsi="Times New Roman"/>
          <w:sz w:val="20"/>
          <w:szCs w:val="20"/>
        </w:rPr>
      </w:pPr>
      <w:r>
        <w:rPr>
          <w:rFonts w:hint="eastAsia" w:ascii="Times New Roman" w:hAnsi="Times New Roman" w:eastAsia="等线"/>
          <w:b/>
          <w:bCs w:val="0"/>
          <w:i/>
          <w:iCs w:val="0"/>
          <w:sz w:val="20"/>
          <w:szCs w:val="20"/>
          <w:lang w:val="en-US" w:eastAsia="zh-CN"/>
        </w:rPr>
        <w:t>Proposal 10: it is proposed to study the interference handling between 5G and 6G.</w:t>
      </w:r>
      <w:bookmarkStart w:id="8" w:name="_GoBack"/>
      <w:bookmarkEnd w:id="8"/>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9"/>
        <w:framePr w:wrap="auto" w:vAnchor="margin" w:hAnchor="text" w:yAlign="inline"/>
        <w:numPr>
          <w:ilvl w:val="0"/>
          <w:numId w:val="24"/>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72E6BCE5">
      <w:pPr>
        <w:pStyle w:val="19"/>
        <w:framePr w:wrap="auto" w:vAnchor="margin" w:hAnchor="text" w:yAlign="inline"/>
        <w:numPr>
          <w:ilvl w:val="0"/>
          <w:numId w:val="24"/>
        </w:numPr>
        <w:ind w:right="400"/>
        <w:jc w:val="both"/>
        <w:rPr>
          <w:rFonts w:ascii="Times" w:hAnsi="Times" w:eastAsia="宋体"/>
          <w:b w:val="0"/>
          <w:sz w:val="20"/>
          <w:lang w:eastAsia="zh-CN"/>
        </w:rPr>
      </w:pPr>
      <w:r>
        <w:rPr>
          <w:rFonts w:hint="eastAsia" w:ascii="Times" w:hAnsi="Times" w:eastAsia="宋体"/>
          <w:b w:val="0"/>
          <w:sz w:val="20"/>
          <w:lang w:eastAsia="zh-CN"/>
        </w:rPr>
        <w:t>R4-251</w:t>
      </w:r>
      <w:r>
        <w:rPr>
          <w:rFonts w:hint="eastAsia" w:ascii="Times" w:hAnsi="Times" w:eastAsia="宋体"/>
          <w:b w:val="0"/>
          <w:sz w:val="20"/>
          <w:lang w:val="en-US" w:eastAsia="zh-CN"/>
        </w:rPr>
        <w:t xml:space="preserve">4646, </w:t>
      </w:r>
      <w:r>
        <w:rPr>
          <w:rFonts w:hint="eastAsia" w:ascii="Times" w:hAnsi="Times" w:eastAsia="宋体"/>
          <w:b w:val="0"/>
          <w:sz w:val="20"/>
          <w:lang w:eastAsia="zh-CN"/>
        </w:rPr>
        <w:t>WF for [116bis][108] 6G spectrum sharing</w:t>
      </w:r>
      <w:r>
        <w:rPr>
          <w:rFonts w:hint="eastAsia" w:ascii="Times" w:hAnsi="Times" w:eastAsia="宋体"/>
          <w:b w:val="0"/>
          <w:sz w:val="20"/>
          <w:lang w:val="en-US" w:eastAsia="zh-CN"/>
        </w:rPr>
        <w:t>, CMCC</w:t>
      </w:r>
      <w:r>
        <w:rPr>
          <w:rFonts w:hint="eastAsia" w:ascii="Times" w:hAnsi="Times" w:eastAsia="宋体"/>
          <w:b w:val="0"/>
          <w:sz w:val="20"/>
          <w:lang w:val="en-US" w:eastAsia="zh-CN"/>
        </w:rPr>
        <w:tab/>
      </w:r>
    </w:p>
    <w:p w14:paraId="518B108C">
      <w:pPr>
        <w:pStyle w:val="19"/>
        <w:framePr w:wrap="auto" w:vAnchor="margin" w:hAnchor="text" w:yAlign="inline"/>
        <w:numPr>
          <w:ilvl w:val="0"/>
          <w:numId w:val="24"/>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37C6161F">
      <w:pPr>
        <w:pStyle w:val="19"/>
        <w:framePr w:wrap="auto" w:vAnchor="margin" w:hAnchor="text" w:yAlign="inline"/>
        <w:numPr>
          <w:ilvl w:val="0"/>
          <w:numId w:val="24"/>
        </w:numPr>
        <w:ind w:left="0" w:leftChars="0" w:right="400" w:firstLine="0" w:firstLineChars="0"/>
        <w:jc w:val="both"/>
        <w:rPr>
          <w:rFonts w:hint="eastAsia" w:ascii="Times" w:hAnsi="Times" w:eastAsia="宋体"/>
          <w:b w:val="0"/>
          <w:sz w:val="20"/>
          <w:lang w:val="en-US" w:eastAsia="zh-CN"/>
        </w:rPr>
      </w:pPr>
      <w:r>
        <w:rPr>
          <w:rFonts w:hint="eastAsia" w:ascii="Times" w:hAnsi="Times" w:eastAsia="宋体"/>
          <w:b w:val="0"/>
          <w:sz w:val="20"/>
          <w:lang w:val="en-US" w:eastAsia="zh-CN"/>
        </w:rPr>
        <w:t>RP-252870, pCR for 38.914 on requirements for architecture and migration for 6G</w:t>
      </w:r>
    </w:p>
    <w:p w14:paraId="4D6A8ED9">
      <w:pPr>
        <w:pStyle w:val="19"/>
        <w:framePr w:wrap="auto" w:vAnchor="margin" w:hAnchor="text" w:yAlign="inline"/>
        <w:numPr>
          <w:ilvl w:val="0"/>
          <w:numId w:val="24"/>
        </w:numPr>
        <w:ind w:left="0" w:leftChars="0" w:right="400" w:firstLine="0" w:firstLineChars="0"/>
        <w:jc w:val="both"/>
        <w:rPr>
          <w:rFonts w:hint="default" w:ascii="Times" w:hAnsi="Times" w:eastAsia="宋体"/>
          <w:b w:val="0"/>
          <w:sz w:val="20"/>
          <w:lang w:val="en-US" w:eastAsia="zh-CN"/>
        </w:rPr>
      </w:pPr>
      <w:r>
        <w:rPr>
          <w:rFonts w:hint="default" w:ascii="Times" w:hAnsi="Times" w:eastAsia="宋体"/>
          <w:b w:val="0"/>
          <w:sz w:val="20"/>
          <w:lang w:val="en-US" w:eastAsia="zh-CN"/>
        </w:rPr>
        <w:t>RP-2529</w:t>
      </w:r>
      <w:r>
        <w:rPr>
          <w:rFonts w:hint="eastAsia" w:ascii="Times" w:hAnsi="Times" w:eastAsia="宋体"/>
          <w:b w:val="0"/>
          <w:sz w:val="20"/>
          <w:lang w:val="en-US" w:eastAsia="zh-CN"/>
        </w:rPr>
        <w:t>60, pCR for 38.914 on Requirements of new and existing services for 6G</w:t>
      </w:r>
    </w:p>
    <w:p w14:paraId="32EF543F">
      <w:pPr>
        <w:pStyle w:val="19"/>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v4.2.0">
    <w:altName w:val="Times New Roman"/>
    <w:panose1 w:val="00000000000000000000"/>
    <w:charset w:val="00"/>
    <w:family w:val="auto"/>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B1671C"/>
    <w:multiLevelType w:val="singleLevel"/>
    <w:tmpl w:val="B3B1671C"/>
    <w:lvl w:ilvl="0" w:tentative="0">
      <w:start w:val="1"/>
      <w:numFmt w:val="bullet"/>
      <w:lvlText w:val=""/>
      <w:lvlJc w:val="left"/>
      <w:pPr>
        <w:ind w:left="420" w:hanging="420"/>
      </w:pPr>
      <w:rPr>
        <w:rFonts w:hint="default" w:ascii="Wingdings" w:hAnsi="Wingdings"/>
      </w:rPr>
    </w:lvl>
  </w:abstractNum>
  <w:abstractNum w:abstractNumId="1">
    <w:nsid w:val="C0876866"/>
    <w:multiLevelType w:val="multilevel"/>
    <w:tmpl w:val="C0876866"/>
    <w:lvl w:ilvl="0" w:tentative="0">
      <w:start w:val="1"/>
      <w:numFmt w:val="bullet"/>
      <w:lvlText w:val=""/>
      <w:lvlJc w:val="left"/>
      <w:pPr>
        <w:tabs>
          <w:tab w:val="left" w:pos="-420"/>
        </w:tabs>
        <w:ind w:left="0" w:hanging="420"/>
      </w:pPr>
      <w:rPr>
        <w:rFonts w:hint="default" w:ascii="Wingdings" w:hAnsi="Wingdings"/>
      </w:rPr>
    </w:lvl>
    <w:lvl w:ilvl="1" w:tentative="0">
      <w:start w:val="1"/>
      <w:numFmt w:val="bullet"/>
      <w:lvlText w:val=""/>
      <w:lvlJc w:val="left"/>
      <w:pPr>
        <w:tabs>
          <w:tab w:val="left" w:pos="420"/>
        </w:tabs>
        <w:ind w:left="420" w:hanging="420"/>
      </w:pPr>
      <w:rPr>
        <w:rFonts w:hint="default" w:ascii="Wingdings" w:hAnsi="Wingdings"/>
      </w:rPr>
    </w:lvl>
    <w:lvl w:ilvl="2" w:tentative="0">
      <w:start w:val="1"/>
      <w:numFmt w:val="bullet"/>
      <w:lvlText w:val=""/>
      <w:lvlJc w:val="left"/>
      <w:pPr>
        <w:tabs>
          <w:tab w:val="left" w:pos="840"/>
        </w:tabs>
        <w:ind w:left="840" w:hanging="420"/>
      </w:pPr>
      <w:rPr>
        <w:rFonts w:hint="default" w:ascii="Wingdings" w:hAnsi="Wingdings"/>
      </w:rPr>
    </w:lvl>
    <w:lvl w:ilvl="3" w:tentative="0">
      <w:start w:val="1"/>
      <w:numFmt w:val="bullet"/>
      <w:lvlText w:val=""/>
      <w:lvlJc w:val="left"/>
      <w:pPr>
        <w:tabs>
          <w:tab w:val="left" w:pos="1260"/>
        </w:tabs>
        <w:ind w:left="1260" w:hanging="420"/>
      </w:pPr>
      <w:rPr>
        <w:rFonts w:hint="default" w:ascii="Wingdings" w:hAnsi="Wingdings"/>
      </w:rPr>
    </w:lvl>
    <w:lvl w:ilvl="4" w:tentative="0">
      <w:start w:val="1"/>
      <w:numFmt w:val="bullet"/>
      <w:lvlText w:val=""/>
      <w:lvlJc w:val="left"/>
      <w:pPr>
        <w:tabs>
          <w:tab w:val="left" w:pos="1680"/>
        </w:tabs>
        <w:ind w:left="1680" w:hanging="420"/>
      </w:pPr>
      <w:rPr>
        <w:rFonts w:hint="default" w:ascii="Wingdings" w:hAnsi="Wingdings"/>
      </w:rPr>
    </w:lvl>
    <w:lvl w:ilvl="5" w:tentative="0">
      <w:start w:val="1"/>
      <w:numFmt w:val="bullet"/>
      <w:lvlText w:val=""/>
      <w:lvlJc w:val="left"/>
      <w:pPr>
        <w:tabs>
          <w:tab w:val="left" w:pos="2100"/>
        </w:tabs>
        <w:ind w:left="2100" w:hanging="420"/>
      </w:pPr>
      <w:rPr>
        <w:rFonts w:hint="default" w:ascii="Wingdings" w:hAnsi="Wingdings"/>
      </w:rPr>
    </w:lvl>
    <w:lvl w:ilvl="6" w:tentative="0">
      <w:start w:val="1"/>
      <w:numFmt w:val="bullet"/>
      <w:lvlText w:val=""/>
      <w:lvlJc w:val="left"/>
      <w:pPr>
        <w:tabs>
          <w:tab w:val="left" w:pos="2520"/>
        </w:tabs>
        <w:ind w:left="2520" w:hanging="420"/>
      </w:pPr>
      <w:rPr>
        <w:rFonts w:hint="default" w:ascii="Wingdings" w:hAnsi="Wingdings"/>
      </w:rPr>
    </w:lvl>
    <w:lvl w:ilvl="7" w:tentative="0">
      <w:start w:val="1"/>
      <w:numFmt w:val="bullet"/>
      <w:lvlText w:val=""/>
      <w:lvlJc w:val="left"/>
      <w:pPr>
        <w:tabs>
          <w:tab w:val="left" w:pos="2940"/>
        </w:tabs>
        <w:ind w:left="2940" w:hanging="420"/>
      </w:pPr>
      <w:rPr>
        <w:rFonts w:hint="default" w:ascii="Wingdings" w:hAnsi="Wingdings"/>
      </w:rPr>
    </w:lvl>
    <w:lvl w:ilvl="8" w:tentative="0">
      <w:start w:val="1"/>
      <w:numFmt w:val="bullet"/>
      <w:lvlText w:val=""/>
      <w:lvlJc w:val="left"/>
      <w:pPr>
        <w:tabs>
          <w:tab w:val="left" w:pos="3360"/>
        </w:tabs>
        <w:ind w:left="3360" w:hanging="420"/>
      </w:pPr>
      <w:rPr>
        <w:rFonts w:hint="default" w:ascii="Wingdings" w:hAnsi="Wingdings"/>
      </w:rPr>
    </w:lvl>
  </w:abstractNum>
  <w:abstractNum w:abstractNumId="2">
    <w:nsid w:val="D32C9ECB"/>
    <w:multiLevelType w:val="singleLevel"/>
    <w:tmpl w:val="D32C9ECB"/>
    <w:lvl w:ilvl="0" w:tentative="0">
      <w:start w:val="1"/>
      <w:numFmt w:val="bullet"/>
      <w:lvlText w:val=""/>
      <w:lvlJc w:val="left"/>
      <w:pPr>
        <w:tabs>
          <w:tab w:val="left" w:pos="1260"/>
        </w:tabs>
        <w:ind w:left="1680" w:hanging="420"/>
      </w:pPr>
      <w:rPr>
        <w:rFonts w:hint="default" w:ascii="Wingdings" w:hAnsi="Wingdings"/>
      </w:rPr>
    </w:lvl>
  </w:abstractNum>
  <w:abstractNum w:abstractNumId="3">
    <w:nsid w:val="DE02989D"/>
    <w:multiLevelType w:val="singleLevel"/>
    <w:tmpl w:val="DE02989D"/>
    <w:lvl w:ilvl="0" w:tentative="0">
      <w:start w:val="7"/>
      <w:numFmt w:val="decimal"/>
      <w:suff w:val="space"/>
      <w:lvlText w:val="(%1)"/>
      <w:lvlJc w:val="left"/>
    </w:lvl>
  </w:abstractNum>
  <w:abstractNum w:abstractNumId="4">
    <w:nsid w:val="E1892434"/>
    <w:multiLevelType w:val="singleLevel"/>
    <w:tmpl w:val="E1892434"/>
    <w:lvl w:ilvl="0" w:tentative="0">
      <w:start w:val="1"/>
      <w:numFmt w:val="bullet"/>
      <w:lvlText w:val=""/>
      <w:lvlJc w:val="left"/>
      <w:pPr>
        <w:tabs>
          <w:tab w:val="left" w:pos="840"/>
        </w:tabs>
        <w:ind w:left="1260" w:hanging="420"/>
      </w:pPr>
      <w:rPr>
        <w:rFonts w:hint="default" w:ascii="Wingdings" w:hAnsi="Wingdings"/>
      </w:rPr>
    </w:lvl>
  </w:abstractNum>
  <w:abstractNum w:abstractNumId="5">
    <w:nsid w:val="F6871401"/>
    <w:multiLevelType w:val="singleLevel"/>
    <w:tmpl w:val="F6871401"/>
    <w:lvl w:ilvl="0" w:tentative="0">
      <w:start w:val="1"/>
      <w:numFmt w:val="decimal"/>
      <w:suff w:val="space"/>
      <w:lvlText w:val="[%1]"/>
      <w:lvlJc w:val="left"/>
    </w:lvl>
  </w:abstractNum>
  <w:abstractNum w:abstractNumId="6">
    <w:nsid w:val="FB6994D2"/>
    <w:multiLevelType w:val="singleLevel"/>
    <w:tmpl w:val="FB6994D2"/>
    <w:lvl w:ilvl="0" w:tentative="0">
      <w:start w:val="1"/>
      <w:numFmt w:val="bullet"/>
      <w:lvlText w:val=""/>
      <w:lvlJc w:val="left"/>
      <w:pPr>
        <w:tabs>
          <w:tab w:val="left" w:pos="840"/>
        </w:tabs>
        <w:ind w:left="1260" w:hanging="420"/>
      </w:pPr>
      <w:rPr>
        <w:rFonts w:hint="default" w:ascii="Wingdings" w:hAnsi="Wingdings"/>
      </w:rPr>
    </w:lvl>
  </w:abstractNum>
  <w:abstractNum w:abstractNumId="7">
    <w:nsid w:val="055675F3"/>
    <w:multiLevelType w:val="multilevel"/>
    <w:tmpl w:val="055675F3"/>
    <w:lvl w:ilvl="0" w:tentative="0">
      <w:start w:val="1"/>
      <w:numFmt w:val="bullet"/>
      <w:lvlText w:val="o"/>
      <w:lvlJc w:val="left"/>
      <w:pPr>
        <w:ind w:left="880" w:hanging="440"/>
      </w:pPr>
      <w:rPr>
        <w:rFonts w:hint="default" w:ascii="Courier New" w:hAnsi="Courier New" w:cs="Courier New"/>
      </w:rPr>
    </w:lvl>
    <w:lvl w:ilvl="1" w:tentative="0">
      <w:start w:val="1"/>
      <w:numFmt w:val="bullet"/>
      <w:lvlText w:val="o"/>
      <w:lvlJc w:val="left"/>
      <w:pPr>
        <w:ind w:left="1680" w:hanging="440"/>
      </w:pPr>
      <w:rPr>
        <w:rFonts w:hint="default" w:ascii="Courier New" w:hAnsi="Courier New" w:cs="Courier New"/>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8">
    <w:nsid w:val="06B87F67"/>
    <w:multiLevelType w:val="multilevel"/>
    <w:tmpl w:val="06B87F6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09DC78ED"/>
    <w:multiLevelType w:val="multilevel"/>
    <w:tmpl w:val="09DC78ED"/>
    <w:lvl w:ilvl="0" w:tentative="0">
      <w:start w:val="0"/>
      <w:numFmt w:val="bullet"/>
      <w:lvlText w:val="-"/>
      <w:lvlJc w:val="left"/>
      <w:pPr>
        <w:ind w:left="440" w:hanging="440"/>
      </w:pPr>
      <w:rPr>
        <w:rFonts w:hint="default" w:ascii="Times" w:hAnsi="Times" w:eastAsia="等线" w:cs="Times"/>
      </w:rPr>
    </w:lvl>
    <w:lvl w:ilvl="1" w:tentative="0">
      <w:start w:val="1"/>
      <w:numFmt w:val="bullet"/>
      <w:lvlText w:val="o"/>
      <w:lvlJc w:val="left"/>
      <w:pPr>
        <w:ind w:left="880" w:hanging="440"/>
      </w:pPr>
      <w:rPr>
        <w:rFonts w:hint="default" w:ascii="Courier New" w:hAnsi="Courier New" w:cs="Courier New"/>
      </w:rPr>
    </w:lvl>
    <w:lvl w:ilvl="2" w:tentative="0">
      <w:start w:val="1"/>
      <w:numFmt w:val="bullet"/>
      <w:lvlText w:val="o"/>
      <w:lvlJc w:val="left"/>
      <w:pPr>
        <w:ind w:left="1320" w:hanging="440"/>
      </w:pPr>
      <w:rPr>
        <w:rFonts w:hint="default" w:ascii="Courier New" w:hAnsi="Courier New" w:cs="Courier New"/>
      </w:rPr>
    </w:lvl>
    <w:lvl w:ilvl="3" w:tentative="0">
      <w:start w:val="1"/>
      <w:numFmt w:val="bullet"/>
      <w:lvlText w:val="o"/>
      <w:lvlJc w:val="left"/>
      <w:pPr>
        <w:ind w:left="1760" w:hanging="440"/>
      </w:pPr>
      <w:rPr>
        <w:rFonts w:hint="default" w:ascii="Courier New" w:hAnsi="Courier New" w:cs="Courier New"/>
      </w:rPr>
    </w:lvl>
    <w:lvl w:ilvl="4" w:tentative="0">
      <w:start w:val="1"/>
      <w:numFmt w:val="bullet"/>
      <w:lvlText w:val="o"/>
      <w:lvlJc w:val="left"/>
      <w:pPr>
        <w:ind w:left="2200" w:hanging="440"/>
      </w:pPr>
      <w:rPr>
        <w:rFonts w:hint="default" w:ascii="Courier New" w:hAnsi="Courier New" w:cs="Courier New"/>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
    <w:nsid w:val="138223CD"/>
    <w:multiLevelType w:val="multilevel"/>
    <w:tmpl w:val="138223CD"/>
    <w:lvl w:ilvl="0" w:tentative="0">
      <w:start w:val="400"/>
      <w:numFmt w:val="bullet"/>
      <w:lvlText w:val="-"/>
      <w:lvlJc w:val="left"/>
      <w:pPr>
        <w:ind w:left="440" w:hanging="440"/>
      </w:pPr>
      <w:rPr>
        <w:rFonts w:hint="default" w:ascii="Arial" w:hAnsi="Arial" w:cs="Arial" w:eastAsiaTheme="minorHAnsi"/>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
    <w:nsid w:val="19CB9DE4"/>
    <w:multiLevelType w:val="multilevel"/>
    <w:tmpl w:val="19CB9DE4"/>
    <w:lvl w:ilvl="0" w:tentative="0">
      <w:start w:val="1"/>
      <w:numFmt w:val="bullet"/>
      <w:lvlText w:val=""/>
      <w:lvlJc w:val="left"/>
      <w:pPr>
        <w:tabs>
          <w:tab w:val="left" w:pos="1680"/>
        </w:tabs>
        <w:ind w:left="2100" w:hanging="420"/>
      </w:pPr>
      <w:rPr>
        <w:rFonts w:hint="default" w:ascii="Wingdings" w:hAnsi="Wingdings"/>
      </w:rPr>
    </w:lvl>
    <w:lvl w:ilvl="1" w:tentative="0">
      <w:start w:val="1"/>
      <w:numFmt w:val="bullet"/>
      <w:lvlText w:val=""/>
      <w:lvlJc w:val="left"/>
      <w:pPr>
        <w:tabs>
          <w:tab w:val="left" w:pos="840"/>
        </w:tabs>
        <w:ind w:left="2520" w:hanging="420"/>
      </w:pPr>
      <w:rPr>
        <w:rFonts w:hint="default" w:ascii="Wingdings" w:hAnsi="Wingdings"/>
      </w:rPr>
    </w:lvl>
    <w:lvl w:ilvl="2" w:tentative="0">
      <w:start w:val="1"/>
      <w:numFmt w:val="bullet"/>
      <w:lvlText w:val=""/>
      <w:lvlJc w:val="left"/>
      <w:pPr>
        <w:tabs>
          <w:tab w:val="left" w:pos="1260"/>
        </w:tabs>
        <w:ind w:left="2940" w:hanging="420"/>
      </w:pPr>
      <w:rPr>
        <w:rFonts w:hint="default" w:ascii="Wingdings" w:hAnsi="Wingdings"/>
      </w:rPr>
    </w:lvl>
    <w:lvl w:ilvl="3" w:tentative="0">
      <w:start w:val="1"/>
      <w:numFmt w:val="bullet"/>
      <w:lvlText w:val=""/>
      <w:lvlJc w:val="left"/>
      <w:pPr>
        <w:tabs>
          <w:tab w:val="left" w:pos="1680"/>
        </w:tabs>
        <w:ind w:left="3360" w:hanging="420"/>
      </w:pPr>
      <w:rPr>
        <w:rFonts w:hint="default" w:ascii="Wingdings" w:hAnsi="Wingdings"/>
      </w:rPr>
    </w:lvl>
    <w:lvl w:ilvl="4" w:tentative="0">
      <w:start w:val="1"/>
      <w:numFmt w:val="bullet"/>
      <w:lvlText w:val=""/>
      <w:lvlJc w:val="left"/>
      <w:pPr>
        <w:tabs>
          <w:tab w:val="left" w:pos="2100"/>
        </w:tabs>
        <w:ind w:left="3780" w:hanging="420"/>
      </w:pPr>
      <w:rPr>
        <w:rFonts w:hint="default" w:ascii="Wingdings" w:hAnsi="Wingdings"/>
      </w:rPr>
    </w:lvl>
    <w:lvl w:ilvl="5" w:tentative="0">
      <w:start w:val="1"/>
      <w:numFmt w:val="bullet"/>
      <w:lvlText w:val=""/>
      <w:lvlJc w:val="left"/>
      <w:pPr>
        <w:tabs>
          <w:tab w:val="left" w:pos="2520"/>
        </w:tabs>
        <w:ind w:left="4200" w:hanging="420"/>
      </w:pPr>
      <w:rPr>
        <w:rFonts w:hint="default" w:ascii="Wingdings" w:hAnsi="Wingdings"/>
      </w:rPr>
    </w:lvl>
    <w:lvl w:ilvl="6" w:tentative="0">
      <w:start w:val="1"/>
      <w:numFmt w:val="bullet"/>
      <w:lvlText w:val=""/>
      <w:lvlJc w:val="left"/>
      <w:pPr>
        <w:tabs>
          <w:tab w:val="left" w:pos="2940"/>
        </w:tabs>
        <w:ind w:left="4620" w:hanging="420"/>
      </w:pPr>
      <w:rPr>
        <w:rFonts w:hint="default" w:ascii="Wingdings" w:hAnsi="Wingdings"/>
      </w:rPr>
    </w:lvl>
    <w:lvl w:ilvl="7" w:tentative="0">
      <w:start w:val="1"/>
      <w:numFmt w:val="bullet"/>
      <w:lvlText w:val=""/>
      <w:lvlJc w:val="left"/>
      <w:pPr>
        <w:tabs>
          <w:tab w:val="left" w:pos="3360"/>
        </w:tabs>
        <w:ind w:left="5040" w:hanging="420"/>
      </w:pPr>
      <w:rPr>
        <w:rFonts w:hint="default" w:ascii="Wingdings" w:hAnsi="Wingdings"/>
      </w:rPr>
    </w:lvl>
    <w:lvl w:ilvl="8" w:tentative="0">
      <w:start w:val="1"/>
      <w:numFmt w:val="bullet"/>
      <w:lvlText w:val=""/>
      <w:lvlJc w:val="left"/>
      <w:pPr>
        <w:tabs>
          <w:tab w:val="left" w:pos="3780"/>
        </w:tabs>
        <w:ind w:left="5460" w:hanging="420"/>
      </w:pPr>
      <w:rPr>
        <w:rFonts w:hint="default" w:ascii="Wingdings" w:hAnsi="Wingdings"/>
      </w:rPr>
    </w:lvl>
  </w:abstractNum>
  <w:abstractNum w:abstractNumId="12">
    <w:nsid w:val="1DC70AF4"/>
    <w:multiLevelType w:val="multilevel"/>
    <w:tmpl w:val="1DC70AF4"/>
    <w:lvl w:ilvl="0" w:tentative="0">
      <w:start w:val="1"/>
      <w:numFmt w:val="lowerLetter"/>
      <w:lvlText w:val="%1)"/>
      <w:lvlJc w:val="left"/>
      <w:pPr>
        <w:tabs>
          <w:tab w:val="left" w:pos="-840"/>
        </w:tabs>
        <w:ind w:left="600" w:hanging="360"/>
      </w:pPr>
    </w:lvl>
    <w:lvl w:ilvl="1" w:tentative="0">
      <w:start w:val="1"/>
      <w:numFmt w:val="lowerLetter"/>
      <w:lvlText w:val="%2."/>
      <w:lvlJc w:val="left"/>
      <w:pPr>
        <w:tabs>
          <w:tab w:val="left" w:pos="-840"/>
        </w:tabs>
        <w:ind w:left="1320" w:hanging="360"/>
      </w:pPr>
    </w:lvl>
    <w:lvl w:ilvl="2" w:tentative="0">
      <w:start w:val="1"/>
      <w:numFmt w:val="lowerRoman"/>
      <w:lvlText w:val="%3."/>
      <w:lvlJc w:val="right"/>
      <w:pPr>
        <w:tabs>
          <w:tab w:val="left" w:pos="-840"/>
        </w:tabs>
        <w:ind w:left="2040" w:hanging="180"/>
      </w:pPr>
    </w:lvl>
    <w:lvl w:ilvl="3" w:tentative="0">
      <w:start w:val="1"/>
      <w:numFmt w:val="decimal"/>
      <w:lvlText w:val="%4."/>
      <w:lvlJc w:val="left"/>
      <w:pPr>
        <w:tabs>
          <w:tab w:val="left" w:pos="-840"/>
        </w:tabs>
        <w:ind w:left="2760" w:hanging="360"/>
      </w:pPr>
    </w:lvl>
    <w:lvl w:ilvl="4" w:tentative="0">
      <w:start w:val="1"/>
      <w:numFmt w:val="lowerLetter"/>
      <w:lvlText w:val="%5."/>
      <w:lvlJc w:val="left"/>
      <w:pPr>
        <w:tabs>
          <w:tab w:val="left" w:pos="-840"/>
        </w:tabs>
        <w:ind w:left="3480" w:hanging="360"/>
      </w:pPr>
    </w:lvl>
    <w:lvl w:ilvl="5" w:tentative="0">
      <w:start w:val="1"/>
      <w:numFmt w:val="lowerRoman"/>
      <w:lvlText w:val="%6."/>
      <w:lvlJc w:val="right"/>
      <w:pPr>
        <w:tabs>
          <w:tab w:val="left" w:pos="-840"/>
        </w:tabs>
        <w:ind w:left="4200" w:hanging="180"/>
      </w:pPr>
    </w:lvl>
    <w:lvl w:ilvl="6" w:tentative="0">
      <w:start w:val="1"/>
      <w:numFmt w:val="decimal"/>
      <w:lvlText w:val="%7."/>
      <w:lvlJc w:val="left"/>
      <w:pPr>
        <w:tabs>
          <w:tab w:val="left" w:pos="-840"/>
        </w:tabs>
        <w:ind w:left="4920" w:hanging="360"/>
      </w:pPr>
    </w:lvl>
    <w:lvl w:ilvl="7" w:tentative="0">
      <w:start w:val="1"/>
      <w:numFmt w:val="lowerLetter"/>
      <w:lvlText w:val="%8."/>
      <w:lvlJc w:val="left"/>
      <w:pPr>
        <w:tabs>
          <w:tab w:val="left" w:pos="-840"/>
        </w:tabs>
        <w:ind w:left="5640" w:hanging="360"/>
      </w:pPr>
    </w:lvl>
    <w:lvl w:ilvl="8" w:tentative="0">
      <w:start w:val="1"/>
      <w:numFmt w:val="lowerRoman"/>
      <w:lvlText w:val="%9."/>
      <w:lvlJc w:val="right"/>
      <w:pPr>
        <w:tabs>
          <w:tab w:val="left" w:pos="-840"/>
        </w:tabs>
        <w:ind w:left="6360" w:hanging="180"/>
      </w:pPr>
    </w:lvl>
  </w:abstractNum>
  <w:abstractNum w:abstractNumId="13">
    <w:nsid w:val="2442CE48"/>
    <w:multiLevelType w:val="singleLevel"/>
    <w:tmpl w:val="2442CE48"/>
    <w:lvl w:ilvl="0" w:tentative="0">
      <w:start w:val="1"/>
      <w:numFmt w:val="bullet"/>
      <w:lvlText w:val=""/>
      <w:lvlJc w:val="left"/>
      <w:pPr>
        <w:tabs>
          <w:tab w:val="left" w:pos="420"/>
        </w:tabs>
        <w:ind w:left="840" w:hanging="420"/>
      </w:pPr>
      <w:rPr>
        <w:rFonts w:hint="default" w:ascii="Wingdings" w:hAnsi="Wingdings"/>
      </w:rPr>
    </w:lvl>
  </w:abstractNum>
  <w:abstractNum w:abstractNumId="1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5">
    <w:nsid w:val="2D9D23D2"/>
    <w:multiLevelType w:val="multilevel"/>
    <w:tmpl w:val="2D9D23D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6">
    <w:nsid w:val="384FA467"/>
    <w:multiLevelType w:val="singleLevel"/>
    <w:tmpl w:val="384FA467"/>
    <w:lvl w:ilvl="0" w:tentative="0">
      <w:start w:val="1"/>
      <w:numFmt w:val="bullet"/>
      <w:lvlText w:val=""/>
      <w:lvlJc w:val="left"/>
      <w:pPr>
        <w:tabs>
          <w:tab w:val="left" w:pos="840"/>
        </w:tabs>
        <w:ind w:left="1260" w:hanging="420"/>
      </w:pPr>
      <w:rPr>
        <w:rFonts w:hint="default" w:ascii="Wingdings" w:hAnsi="Wingdings"/>
      </w:rPr>
    </w:lvl>
  </w:abstractNum>
  <w:abstractNum w:abstractNumId="17">
    <w:nsid w:val="3AA46647"/>
    <w:multiLevelType w:val="multilevel"/>
    <w:tmpl w:val="3AA46647"/>
    <w:lvl w:ilvl="0" w:tentative="0">
      <w:start w:val="1"/>
      <w:numFmt w:val="decimal"/>
      <w:pStyle w:val="1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3FE91D8F"/>
    <w:multiLevelType w:val="multilevel"/>
    <w:tmpl w:val="3FE91D8F"/>
    <w:lvl w:ilvl="0" w:tentative="0">
      <w:start w:val="1"/>
      <w:numFmt w:val="bullet"/>
      <w:lvlText w:val=""/>
      <w:lvlJc w:val="left"/>
      <w:pPr>
        <w:tabs>
          <w:tab w:val="left" w:pos="-420"/>
        </w:tabs>
        <w:ind w:left="584" w:hanging="360"/>
      </w:pPr>
      <w:rPr>
        <w:rFonts w:hint="default" w:ascii="Symbol" w:hAnsi="Symbol"/>
      </w:rPr>
    </w:lvl>
    <w:lvl w:ilvl="1" w:tentative="0">
      <w:start w:val="1"/>
      <w:numFmt w:val="bullet"/>
      <w:lvlText w:val="o"/>
      <w:lvlJc w:val="left"/>
      <w:pPr>
        <w:tabs>
          <w:tab w:val="left" w:pos="-420"/>
        </w:tabs>
        <w:ind w:left="1304" w:hanging="360"/>
      </w:pPr>
      <w:rPr>
        <w:rFonts w:hint="default" w:ascii="Courier New" w:hAnsi="Courier New" w:cs="Courier New"/>
      </w:rPr>
    </w:lvl>
    <w:lvl w:ilvl="2" w:tentative="0">
      <w:start w:val="1"/>
      <w:numFmt w:val="bullet"/>
      <w:lvlText w:val=""/>
      <w:lvlJc w:val="left"/>
      <w:pPr>
        <w:tabs>
          <w:tab w:val="left" w:pos="-420"/>
        </w:tabs>
        <w:ind w:left="2024" w:hanging="360"/>
      </w:pPr>
      <w:rPr>
        <w:rFonts w:hint="default" w:ascii="Wingdings" w:hAnsi="Wingdings"/>
      </w:rPr>
    </w:lvl>
    <w:lvl w:ilvl="3" w:tentative="0">
      <w:start w:val="1"/>
      <w:numFmt w:val="bullet"/>
      <w:lvlText w:val=""/>
      <w:lvlJc w:val="left"/>
      <w:pPr>
        <w:tabs>
          <w:tab w:val="left" w:pos="-420"/>
        </w:tabs>
        <w:ind w:left="2744" w:hanging="360"/>
      </w:pPr>
      <w:rPr>
        <w:rFonts w:hint="default" w:ascii="Symbol" w:hAnsi="Symbol"/>
      </w:rPr>
    </w:lvl>
    <w:lvl w:ilvl="4" w:tentative="0">
      <w:start w:val="1"/>
      <w:numFmt w:val="bullet"/>
      <w:lvlText w:val="o"/>
      <w:lvlJc w:val="left"/>
      <w:pPr>
        <w:tabs>
          <w:tab w:val="left" w:pos="-420"/>
        </w:tabs>
        <w:ind w:left="3464" w:hanging="360"/>
      </w:pPr>
      <w:rPr>
        <w:rFonts w:hint="default" w:ascii="Courier New" w:hAnsi="Courier New" w:cs="Courier New"/>
      </w:rPr>
    </w:lvl>
    <w:lvl w:ilvl="5" w:tentative="0">
      <w:start w:val="1"/>
      <w:numFmt w:val="bullet"/>
      <w:lvlText w:val=""/>
      <w:lvlJc w:val="left"/>
      <w:pPr>
        <w:tabs>
          <w:tab w:val="left" w:pos="-420"/>
        </w:tabs>
        <w:ind w:left="4184" w:hanging="360"/>
      </w:pPr>
      <w:rPr>
        <w:rFonts w:hint="default" w:ascii="Wingdings" w:hAnsi="Wingdings"/>
      </w:rPr>
    </w:lvl>
    <w:lvl w:ilvl="6" w:tentative="0">
      <w:start w:val="1"/>
      <w:numFmt w:val="bullet"/>
      <w:lvlText w:val=""/>
      <w:lvlJc w:val="left"/>
      <w:pPr>
        <w:tabs>
          <w:tab w:val="left" w:pos="-420"/>
        </w:tabs>
        <w:ind w:left="4904" w:hanging="360"/>
      </w:pPr>
      <w:rPr>
        <w:rFonts w:hint="default" w:ascii="Symbol" w:hAnsi="Symbol"/>
      </w:rPr>
    </w:lvl>
    <w:lvl w:ilvl="7" w:tentative="0">
      <w:start w:val="1"/>
      <w:numFmt w:val="bullet"/>
      <w:lvlText w:val="o"/>
      <w:lvlJc w:val="left"/>
      <w:pPr>
        <w:tabs>
          <w:tab w:val="left" w:pos="-420"/>
        </w:tabs>
        <w:ind w:left="5624" w:hanging="360"/>
      </w:pPr>
      <w:rPr>
        <w:rFonts w:hint="default" w:ascii="Courier New" w:hAnsi="Courier New" w:cs="Courier New"/>
      </w:rPr>
    </w:lvl>
    <w:lvl w:ilvl="8" w:tentative="0">
      <w:start w:val="1"/>
      <w:numFmt w:val="bullet"/>
      <w:lvlText w:val=""/>
      <w:lvlJc w:val="left"/>
      <w:pPr>
        <w:tabs>
          <w:tab w:val="left" w:pos="-420"/>
        </w:tabs>
        <w:ind w:left="6344" w:hanging="360"/>
      </w:pPr>
      <w:rPr>
        <w:rFonts w:hint="default" w:ascii="Wingdings" w:hAnsi="Wingdings"/>
      </w:rPr>
    </w:lvl>
  </w:abstractNum>
  <w:abstractNum w:abstractNumId="19">
    <w:nsid w:val="4AD91956"/>
    <w:multiLevelType w:val="multilevel"/>
    <w:tmpl w:val="4AD9195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440" w:hanging="440"/>
      </w:pPr>
      <w:rPr>
        <w:rFonts w:hint="default" w:ascii="Symbol" w:hAnsi="Symbo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0">
    <w:nsid w:val="587A1663"/>
    <w:multiLevelType w:val="multilevel"/>
    <w:tmpl w:val="587A166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2">
    <w:nsid w:val="70146DC0"/>
    <w:multiLevelType w:val="multilevel"/>
    <w:tmpl w:val="70146DC0"/>
    <w:lvl w:ilvl="0" w:tentative="0">
      <w:start w:val="1"/>
      <w:numFmt w:val="bullet"/>
      <w:pStyle w:val="2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23"/>
  </w:num>
  <w:num w:numId="2">
    <w:abstractNumId w:val="17"/>
  </w:num>
  <w:num w:numId="3">
    <w:abstractNumId w:val="22"/>
  </w:num>
  <w:num w:numId="4">
    <w:abstractNumId w:val="14"/>
  </w:num>
  <w:num w:numId="5">
    <w:abstractNumId w:val="3"/>
  </w:num>
  <w:num w:numId="6">
    <w:abstractNumId w:val="12"/>
  </w:num>
  <w:num w:numId="7">
    <w:abstractNumId w:val="21"/>
  </w:num>
  <w:num w:numId="8">
    <w:abstractNumId w:val="15"/>
  </w:num>
  <w:num w:numId="9">
    <w:abstractNumId w:val="6"/>
  </w:num>
  <w:num w:numId="10">
    <w:abstractNumId w:val="16"/>
  </w:num>
  <w:num w:numId="11">
    <w:abstractNumId w:val="2"/>
  </w:num>
  <w:num w:numId="12">
    <w:abstractNumId w:val="1"/>
  </w:num>
  <w:num w:numId="13">
    <w:abstractNumId w:val="11"/>
  </w:num>
  <w:num w:numId="14">
    <w:abstractNumId w:val="4"/>
  </w:num>
  <w:num w:numId="15">
    <w:abstractNumId w:val="13"/>
  </w:num>
  <w:num w:numId="16">
    <w:abstractNumId w:val="9"/>
  </w:num>
  <w:num w:numId="17">
    <w:abstractNumId w:val="10"/>
  </w:num>
  <w:num w:numId="18">
    <w:abstractNumId w:val="7"/>
  </w:num>
  <w:num w:numId="19">
    <w:abstractNumId w:val="20"/>
  </w:num>
  <w:num w:numId="20">
    <w:abstractNumId w:val="8"/>
  </w:num>
  <w:num w:numId="21">
    <w:abstractNumId w:val="19"/>
  </w:num>
  <w:num w:numId="22">
    <w:abstractNumId w:val="18"/>
  </w:num>
  <w:num w:numId="23">
    <w:abstractNumId w:val="0"/>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08748EE"/>
    <w:rsid w:val="02646578"/>
    <w:rsid w:val="03C030A6"/>
    <w:rsid w:val="04526EE6"/>
    <w:rsid w:val="05173FCA"/>
    <w:rsid w:val="053428A8"/>
    <w:rsid w:val="05BA263B"/>
    <w:rsid w:val="05CE7F14"/>
    <w:rsid w:val="06175254"/>
    <w:rsid w:val="06254DA5"/>
    <w:rsid w:val="065C4EFE"/>
    <w:rsid w:val="06E076D6"/>
    <w:rsid w:val="07CD6512"/>
    <w:rsid w:val="0881640B"/>
    <w:rsid w:val="08B50B7B"/>
    <w:rsid w:val="09405F3B"/>
    <w:rsid w:val="09B01C47"/>
    <w:rsid w:val="0A573618"/>
    <w:rsid w:val="0AB80AD4"/>
    <w:rsid w:val="0ACF434F"/>
    <w:rsid w:val="0B262E91"/>
    <w:rsid w:val="0B6C304D"/>
    <w:rsid w:val="0B943C03"/>
    <w:rsid w:val="0BD8388E"/>
    <w:rsid w:val="0C3C1697"/>
    <w:rsid w:val="0DE85960"/>
    <w:rsid w:val="0E77636A"/>
    <w:rsid w:val="0EB208AB"/>
    <w:rsid w:val="0F486821"/>
    <w:rsid w:val="0F4C27CC"/>
    <w:rsid w:val="0F673061"/>
    <w:rsid w:val="0FA30B04"/>
    <w:rsid w:val="0FE50EF5"/>
    <w:rsid w:val="104F7E3C"/>
    <w:rsid w:val="105F7F23"/>
    <w:rsid w:val="10EB1450"/>
    <w:rsid w:val="111346BF"/>
    <w:rsid w:val="11A46535"/>
    <w:rsid w:val="127D6382"/>
    <w:rsid w:val="12A27A40"/>
    <w:rsid w:val="12D402FB"/>
    <w:rsid w:val="13AD1DFD"/>
    <w:rsid w:val="142E3B2B"/>
    <w:rsid w:val="14316CAE"/>
    <w:rsid w:val="1444244B"/>
    <w:rsid w:val="14A31207"/>
    <w:rsid w:val="14A423A8"/>
    <w:rsid w:val="15273D43"/>
    <w:rsid w:val="15685863"/>
    <w:rsid w:val="159403F8"/>
    <w:rsid w:val="15C5068C"/>
    <w:rsid w:val="16D12D1C"/>
    <w:rsid w:val="17ED0CBB"/>
    <w:rsid w:val="18B21538"/>
    <w:rsid w:val="18ED5018"/>
    <w:rsid w:val="19150AB5"/>
    <w:rsid w:val="198619D0"/>
    <w:rsid w:val="19861E05"/>
    <w:rsid w:val="1A1F0E43"/>
    <w:rsid w:val="1A720A97"/>
    <w:rsid w:val="1AB30271"/>
    <w:rsid w:val="1B9E6307"/>
    <w:rsid w:val="1C5120FF"/>
    <w:rsid w:val="1C812CD0"/>
    <w:rsid w:val="1C970BAC"/>
    <w:rsid w:val="1CC96948"/>
    <w:rsid w:val="1F2C6132"/>
    <w:rsid w:val="1FDE5642"/>
    <w:rsid w:val="20A3117D"/>
    <w:rsid w:val="219E0135"/>
    <w:rsid w:val="23751745"/>
    <w:rsid w:val="23D51059"/>
    <w:rsid w:val="23FC482E"/>
    <w:rsid w:val="25C11700"/>
    <w:rsid w:val="276521AF"/>
    <w:rsid w:val="287663FF"/>
    <w:rsid w:val="29552CDF"/>
    <w:rsid w:val="2A7423E6"/>
    <w:rsid w:val="2C401128"/>
    <w:rsid w:val="2C974513"/>
    <w:rsid w:val="2CC24862"/>
    <w:rsid w:val="2DF16421"/>
    <w:rsid w:val="2E9742CA"/>
    <w:rsid w:val="2F3D15B9"/>
    <w:rsid w:val="2F4444D2"/>
    <w:rsid w:val="30405CA0"/>
    <w:rsid w:val="31890F43"/>
    <w:rsid w:val="322158B2"/>
    <w:rsid w:val="330607B3"/>
    <w:rsid w:val="339C103A"/>
    <w:rsid w:val="33F73CD2"/>
    <w:rsid w:val="342D50A6"/>
    <w:rsid w:val="34453CA2"/>
    <w:rsid w:val="34583730"/>
    <w:rsid w:val="35D22FBC"/>
    <w:rsid w:val="393E203F"/>
    <w:rsid w:val="39C97388"/>
    <w:rsid w:val="39FB0130"/>
    <w:rsid w:val="3B0A7A73"/>
    <w:rsid w:val="3B812128"/>
    <w:rsid w:val="3BFF4ED4"/>
    <w:rsid w:val="3BFF627B"/>
    <w:rsid w:val="3D3D3705"/>
    <w:rsid w:val="3DD71886"/>
    <w:rsid w:val="3DE8161F"/>
    <w:rsid w:val="3DEF01B7"/>
    <w:rsid w:val="3E546750"/>
    <w:rsid w:val="3E9E1A93"/>
    <w:rsid w:val="40F17018"/>
    <w:rsid w:val="41A41AB6"/>
    <w:rsid w:val="42750B50"/>
    <w:rsid w:val="42937A3C"/>
    <w:rsid w:val="42EA6351"/>
    <w:rsid w:val="44715EBB"/>
    <w:rsid w:val="465005B9"/>
    <w:rsid w:val="46FF5367"/>
    <w:rsid w:val="47617B01"/>
    <w:rsid w:val="47E11C0A"/>
    <w:rsid w:val="480239B3"/>
    <w:rsid w:val="4BE64593"/>
    <w:rsid w:val="4D3D03C8"/>
    <w:rsid w:val="4DC1731C"/>
    <w:rsid w:val="4E1736E9"/>
    <w:rsid w:val="4E5A52AA"/>
    <w:rsid w:val="4E9B5FEF"/>
    <w:rsid w:val="50023FA3"/>
    <w:rsid w:val="505316D8"/>
    <w:rsid w:val="52BD0171"/>
    <w:rsid w:val="53450CAD"/>
    <w:rsid w:val="53F63034"/>
    <w:rsid w:val="54C618EB"/>
    <w:rsid w:val="54CA68AA"/>
    <w:rsid w:val="5516017D"/>
    <w:rsid w:val="593772D0"/>
    <w:rsid w:val="59587923"/>
    <w:rsid w:val="5A9802AF"/>
    <w:rsid w:val="5C2C682C"/>
    <w:rsid w:val="5DCC0D69"/>
    <w:rsid w:val="5FF46FBE"/>
    <w:rsid w:val="61554B37"/>
    <w:rsid w:val="627A171F"/>
    <w:rsid w:val="62BA6389"/>
    <w:rsid w:val="6361084A"/>
    <w:rsid w:val="63860958"/>
    <w:rsid w:val="63AA2F5C"/>
    <w:rsid w:val="64D4424F"/>
    <w:rsid w:val="65927733"/>
    <w:rsid w:val="65991FE6"/>
    <w:rsid w:val="65E96850"/>
    <w:rsid w:val="67010C05"/>
    <w:rsid w:val="6701538B"/>
    <w:rsid w:val="67AD54A4"/>
    <w:rsid w:val="68B305D5"/>
    <w:rsid w:val="68B74A5D"/>
    <w:rsid w:val="6A356F1A"/>
    <w:rsid w:val="6A4F7FF6"/>
    <w:rsid w:val="6AC458C1"/>
    <w:rsid w:val="6B380692"/>
    <w:rsid w:val="6C8E3A48"/>
    <w:rsid w:val="6D205895"/>
    <w:rsid w:val="6E54240F"/>
    <w:rsid w:val="6F3538B4"/>
    <w:rsid w:val="6F984846"/>
    <w:rsid w:val="704F34CF"/>
    <w:rsid w:val="715440AF"/>
    <w:rsid w:val="721B1B84"/>
    <w:rsid w:val="724D5513"/>
    <w:rsid w:val="72935C87"/>
    <w:rsid w:val="732D7D1A"/>
    <w:rsid w:val="739A5EFA"/>
    <w:rsid w:val="74DC0F51"/>
    <w:rsid w:val="753E3654"/>
    <w:rsid w:val="75886832"/>
    <w:rsid w:val="758B206A"/>
    <w:rsid w:val="77D070AC"/>
    <w:rsid w:val="77FE1BDA"/>
    <w:rsid w:val="787D1D37"/>
    <w:rsid w:val="78B55821"/>
    <w:rsid w:val="78CB296A"/>
    <w:rsid w:val="79AA4CBF"/>
    <w:rsid w:val="79CD59E4"/>
    <w:rsid w:val="79D9262A"/>
    <w:rsid w:val="7A4603DC"/>
    <w:rsid w:val="7A4E0013"/>
    <w:rsid w:val="7AB15C57"/>
    <w:rsid w:val="7B110F3C"/>
    <w:rsid w:val="7BD9715F"/>
    <w:rsid w:val="7BEA4485"/>
    <w:rsid w:val="7C3F4164"/>
    <w:rsid w:val="7C9A0FFB"/>
    <w:rsid w:val="7D7610C2"/>
    <w:rsid w:val="7D826577"/>
    <w:rsid w:val="7E404DF7"/>
    <w:rsid w:val="7E5073C7"/>
    <w:rsid w:val="7E8403CA"/>
    <w:rsid w:val="7F453DC2"/>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ind w:left="851"/>
    </w:pPr>
  </w:style>
  <w:style w:type="paragraph" w:styleId="8">
    <w:name w:val="List"/>
    <w:basedOn w:val="1"/>
    <w:semiHidden/>
    <w:qFormat/>
    <w:uiPriority w:val="0"/>
    <w:pPr>
      <w:ind w:left="568" w:hanging="284"/>
    </w:pPr>
  </w:style>
  <w:style w:type="paragraph" w:styleId="9">
    <w:name w:val="annotation text"/>
    <w:basedOn w:val="1"/>
    <w:qFormat/>
    <w:uiPriority w:val="0"/>
    <w:pPr>
      <w:jc w:val="left"/>
    </w:pPr>
  </w:style>
  <w:style w:type="paragraph" w:styleId="10">
    <w:name w:val="Body Text"/>
    <w:basedOn w:val="1"/>
    <w:qFormat/>
    <w:uiPriority w:val="0"/>
  </w:style>
  <w:style w:type="paragraph" w:styleId="11">
    <w:name w:val="Date"/>
    <w:basedOn w:val="1"/>
    <w:next w:val="1"/>
    <w:unhideWhenUsed/>
    <w:qFormat/>
    <w:uiPriority w:val="99"/>
    <w:pPr>
      <w:ind w:left="100" w:leftChars="2500"/>
    </w:pPr>
  </w:style>
  <w:style w:type="paragraph" w:styleId="12">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3">
    <w:name w:val="List 4"/>
    <w:basedOn w:val="6"/>
    <w:qFormat/>
    <w:uiPriority w:val="0"/>
    <w:pPr>
      <w:ind w:left="1418"/>
    </w:pPr>
  </w:style>
  <w:style w:type="table" w:styleId="15">
    <w:name w:val="Table Grid"/>
    <w:basedOn w:val="14"/>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
    <w:name w:val="List Paragraph"/>
    <w:basedOn w:val="1"/>
    <w:qFormat/>
    <w:uiPriority w:val="34"/>
    <w:pPr>
      <w:widowControl/>
      <w:ind w:firstLine="420" w:firstLineChars="200"/>
      <w:jc w:val="left"/>
    </w:pPr>
    <w:rPr>
      <w:rFonts w:ascii="宋体" w:hAnsi="宋体"/>
      <w:kern w:val="0"/>
    </w:rPr>
  </w:style>
  <w:style w:type="paragraph" w:customStyle="1" w:styleId="18">
    <w:name w:val="Proposal"/>
    <w:basedOn w:val="10"/>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0">
    <w:name w:val="B1"/>
    <w:basedOn w:val="8"/>
    <w:qFormat/>
    <w:uiPriority w:val="0"/>
    <w:pPr>
      <w:ind w:left="568" w:hanging="284"/>
    </w:pPr>
  </w:style>
  <w:style w:type="paragraph" w:customStyle="1" w:styleId="21">
    <w:name w:val="B2"/>
    <w:basedOn w:val="7"/>
    <w:qFormat/>
    <w:uiPriority w:val="0"/>
    <w:pPr>
      <w:ind w:left="851" w:hanging="284"/>
    </w:pPr>
  </w:style>
  <w:style w:type="paragraph" w:customStyle="1" w:styleId="22">
    <w:name w:val="B3"/>
    <w:basedOn w:val="6"/>
    <w:qFormat/>
    <w:uiPriority w:val="0"/>
    <w:pPr>
      <w:ind w:left="1135" w:hanging="284"/>
    </w:pPr>
  </w:style>
  <w:style w:type="paragraph" w:customStyle="1" w:styleId="23">
    <w:name w:val="Agreement"/>
    <w:basedOn w:val="1"/>
    <w:next w:val="24"/>
    <w:qFormat/>
    <w:uiPriority w:val="99"/>
    <w:pPr>
      <w:numPr>
        <w:ilvl w:val="0"/>
        <w:numId w:val="3"/>
      </w:numPr>
      <w:spacing w:before="60"/>
    </w:pPr>
    <w:rPr>
      <w:b/>
    </w:rPr>
  </w:style>
  <w:style w:type="paragraph" w:customStyle="1" w:styleId="24">
    <w:name w:val="Doc-text2"/>
    <w:basedOn w:val="1"/>
    <w:qFormat/>
    <w:uiPriority w:val="0"/>
    <w:pPr>
      <w:tabs>
        <w:tab w:val="left" w:pos="1622"/>
      </w:tabs>
      <w:spacing w:before="0"/>
      <w:ind w:left="1622" w:hanging="363"/>
    </w:pPr>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TAH"/>
    <w:basedOn w:val="27"/>
    <w:qFormat/>
    <w:uiPriority w:val="0"/>
    <w:rPr>
      <w:b/>
    </w:rPr>
  </w:style>
  <w:style w:type="paragraph" w:customStyle="1" w:styleId="27">
    <w:name w:val="TAC"/>
    <w:basedOn w:val="28"/>
    <w:qFormat/>
    <w:uiPriority w:val="0"/>
    <w:pPr>
      <w:jc w:val="center"/>
    </w:pPr>
  </w:style>
  <w:style w:type="paragraph" w:customStyle="1" w:styleId="28">
    <w:name w:val="TAL"/>
    <w:basedOn w:val="1"/>
    <w:qFormat/>
    <w:uiPriority w:val="0"/>
    <w:pPr>
      <w:keepNext/>
      <w:keepLines/>
      <w:spacing w:after="0"/>
    </w:pPr>
    <w:rPr>
      <w:rFonts w:ascii="Arial" w:hAnsi="Arial"/>
      <w:sz w:val="18"/>
    </w:rPr>
  </w:style>
  <w:style w:type="paragraph" w:customStyle="1" w:styleId="29">
    <w:name w:val="TAN"/>
    <w:basedOn w:val="28"/>
    <w:qFormat/>
    <w:uiPriority w:val="0"/>
    <w:pPr>
      <w:ind w:left="851" w:hanging="851"/>
    </w:pPr>
  </w:style>
  <w:style w:type="paragraph" w:customStyle="1" w:styleId="30">
    <w:name w:val="B4"/>
    <w:basedOn w:val="13"/>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CMCC-Jingjing</cp:lastModifiedBy>
  <dcterms:modified xsi:type="dcterms:W3CDTF">2025-11-07T06:42:39Z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6869B0C1A34749A384ADE3AAD7A61322</vt:lpwstr>
  </property>
</Properties>
</file>